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6B" w:rsidRPr="00687F57" w:rsidRDefault="0002236B" w:rsidP="003D2D62">
      <w:pPr>
        <w:spacing w:line="360" w:lineRule="auto"/>
        <w:jc w:val="center"/>
        <w:rPr>
          <w:rFonts w:asciiTheme="minorHAnsi" w:hAnsiTheme="minorHAnsi" w:cstheme="minorHAnsi"/>
          <w:b/>
        </w:rPr>
      </w:pPr>
      <w:r w:rsidRPr="00687F57">
        <w:rPr>
          <w:rFonts w:asciiTheme="minorHAnsi" w:hAnsiTheme="minorHAnsi" w:cstheme="minorHAnsi"/>
          <w:b/>
        </w:rPr>
        <w:t xml:space="preserve">ΑΙΤΙΟΛΟΓΙΚΗ ΕΚΘΕΣΗ </w:t>
      </w:r>
    </w:p>
    <w:p w:rsidR="0002236B" w:rsidRPr="00687F57" w:rsidRDefault="0002236B" w:rsidP="003D2D62">
      <w:pPr>
        <w:spacing w:line="360" w:lineRule="auto"/>
        <w:jc w:val="center"/>
        <w:rPr>
          <w:rFonts w:asciiTheme="minorHAnsi" w:hAnsiTheme="minorHAnsi" w:cstheme="minorHAnsi"/>
          <w:b/>
        </w:rPr>
      </w:pPr>
      <w:r w:rsidRPr="00687F57">
        <w:rPr>
          <w:rFonts w:asciiTheme="minorHAnsi" w:hAnsiTheme="minorHAnsi" w:cstheme="minorHAnsi"/>
          <w:b/>
        </w:rPr>
        <w:t xml:space="preserve">ΣΤΟ ΣΧΕΔΙΟ ΝΟΜΟΥ </w:t>
      </w:r>
    </w:p>
    <w:p w:rsidR="0002236B" w:rsidRPr="00687F57" w:rsidRDefault="0002236B" w:rsidP="003D2D62">
      <w:pPr>
        <w:spacing w:line="360" w:lineRule="auto"/>
        <w:jc w:val="center"/>
        <w:rPr>
          <w:rFonts w:asciiTheme="minorHAnsi" w:hAnsiTheme="minorHAnsi" w:cstheme="minorHAnsi"/>
          <w:b/>
        </w:rPr>
      </w:pPr>
      <w:r w:rsidRPr="00687F57">
        <w:rPr>
          <w:rFonts w:asciiTheme="minorHAnsi" w:hAnsiTheme="minorHAnsi" w:cstheme="minorHAnsi"/>
          <w:b/>
        </w:rPr>
        <w:t xml:space="preserve">ΤΟΥ ΥΠΟΥΡΓΕΙΟΥ ΑΓΡΟΤΙΚΗΣ ΑΝΑΠΤΥΞΗΣ ΚΑΙ ΤΡΟΦΙΜΩΝ </w:t>
      </w:r>
    </w:p>
    <w:p w:rsidR="0002236B" w:rsidRPr="00687F57" w:rsidRDefault="0002236B" w:rsidP="00B33D1A">
      <w:pPr>
        <w:spacing w:line="360" w:lineRule="auto"/>
        <w:jc w:val="center"/>
        <w:rPr>
          <w:rFonts w:asciiTheme="minorHAnsi" w:hAnsiTheme="minorHAnsi" w:cstheme="minorHAnsi"/>
          <w:b/>
        </w:rPr>
      </w:pPr>
    </w:p>
    <w:p w:rsidR="0002236B" w:rsidRPr="00687F57" w:rsidRDefault="0002236B" w:rsidP="00B33D1A">
      <w:pPr>
        <w:spacing w:line="360" w:lineRule="auto"/>
        <w:jc w:val="center"/>
        <w:rPr>
          <w:rFonts w:asciiTheme="minorHAnsi" w:hAnsiTheme="minorHAnsi" w:cstheme="minorHAnsi"/>
          <w:b/>
        </w:rPr>
      </w:pPr>
      <w:r w:rsidRPr="00687F57">
        <w:rPr>
          <w:rFonts w:asciiTheme="minorHAnsi" w:hAnsiTheme="minorHAnsi" w:cstheme="minorHAnsi"/>
          <w:b/>
        </w:rPr>
        <w:t>«Ρυθμίσεις αρμοδιότητας του Υπουργείου Αγροτικής Ανάπτυξης και Τροφίμων για την αναβάθμιση και τον εκσυγχρονισμό του αγροτικού τομέα»</w:t>
      </w:r>
    </w:p>
    <w:p w:rsidR="0002236B" w:rsidRPr="00687F57" w:rsidRDefault="0002236B" w:rsidP="003D2D62">
      <w:pPr>
        <w:spacing w:line="360" w:lineRule="auto"/>
        <w:jc w:val="center"/>
        <w:rPr>
          <w:rFonts w:asciiTheme="minorHAnsi" w:hAnsiTheme="minorHAnsi" w:cstheme="minorHAnsi"/>
          <w:b/>
        </w:rPr>
      </w:pPr>
    </w:p>
    <w:p w:rsidR="0002236B" w:rsidRPr="00687F57" w:rsidRDefault="0002236B" w:rsidP="00A5289E">
      <w:pPr>
        <w:spacing w:line="360" w:lineRule="auto"/>
        <w:rPr>
          <w:rFonts w:asciiTheme="minorHAnsi" w:hAnsiTheme="minorHAnsi" w:cstheme="minorHAnsi"/>
          <w:b/>
        </w:rPr>
      </w:pPr>
    </w:p>
    <w:p w:rsidR="0002236B" w:rsidRPr="00687F57" w:rsidRDefault="0002236B" w:rsidP="00A5289E">
      <w:pPr>
        <w:spacing w:line="360" w:lineRule="auto"/>
        <w:rPr>
          <w:rFonts w:asciiTheme="minorHAnsi" w:hAnsiTheme="minorHAnsi" w:cstheme="minorHAnsi"/>
          <w:b/>
        </w:rPr>
      </w:pPr>
      <w:r w:rsidRPr="00687F57">
        <w:rPr>
          <w:rFonts w:asciiTheme="minorHAnsi" w:hAnsiTheme="minorHAnsi" w:cstheme="minorHAnsi"/>
          <w:b/>
        </w:rPr>
        <w:t>ΓΕΝΙΚΟ ΜΕΡΟΣ</w:t>
      </w:r>
    </w:p>
    <w:p w:rsidR="0002236B" w:rsidRPr="00687F57" w:rsidRDefault="0002236B" w:rsidP="00A5289E">
      <w:pPr>
        <w:spacing w:line="360" w:lineRule="auto"/>
        <w:rPr>
          <w:rFonts w:asciiTheme="minorHAnsi" w:hAnsiTheme="minorHAnsi" w:cstheme="minorHAnsi"/>
          <w:b/>
        </w:rPr>
      </w:pPr>
    </w:p>
    <w:p w:rsidR="0002236B" w:rsidRPr="00687F57" w:rsidRDefault="0002236B" w:rsidP="001E0C0F">
      <w:pPr>
        <w:spacing w:line="360" w:lineRule="auto"/>
        <w:jc w:val="both"/>
        <w:rPr>
          <w:rFonts w:asciiTheme="minorHAnsi" w:hAnsiTheme="minorHAnsi" w:cstheme="minorHAnsi"/>
        </w:rPr>
      </w:pPr>
      <w:r w:rsidRPr="00687F57">
        <w:rPr>
          <w:rFonts w:asciiTheme="minorHAnsi" w:hAnsiTheme="minorHAnsi" w:cstheme="minorHAnsi"/>
        </w:rPr>
        <w:t>Με τις διατάξεις του προτεινόμενου σχεδίου νόμου επιχειρείται η συνολική διευθέτηση θεμάτων που αφορούν αρμοδιότητες του Υπουργείου Αγροτικής Ανάπτυξης και Τροφίμων (ΥΠΑΑΤ), τα οποία χρονίζουν χωρίς τις απαιτούμενες νομοθετικές ρυθμίσεις με άμεση συνέπεια την αδυναμία εφαρμογής των πολιτικών του Υπουργείου. Παράλληλα στο προτεινόμενο σχέδιο νόμου περιλαμβάνονται νέες καινοτόμες διατάξεις, όπως το μελισσοκομικό μητρώο και η ολοκληρωμένη ρύθμιση των θεμάτων του Δικτύου Γεωργικής Λογιστικής Πληροφόρησης, αλλά και σειρά διατάξεων που βελτιώνουν τις ισχύουσες ρυθμίσεις με σκοπό την απελευθέρωση της παραγωγικής διαδικασίας του αγροτικού τομέα από δυσλειτουργίες και διοικητικές αγκυλώσεις. Οι ρυθμίσεις που εισάγονται με το προτεινόμενο σχέδιο νόμου αφορούν πρακτικά όλους τους τομείς αρμοδιότητας του ΥΠΑΑΤ</w:t>
      </w:r>
      <w:r w:rsidR="00CF4FA2" w:rsidRPr="00687F57">
        <w:rPr>
          <w:rFonts w:asciiTheme="minorHAnsi" w:hAnsiTheme="minorHAnsi" w:cstheme="minorHAnsi"/>
        </w:rPr>
        <w:t>.</w:t>
      </w:r>
      <w:r w:rsidRPr="00687F57">
        <w:rPr>
          <w:rFonts w:asciiTheme="minorHAnsi" w:hAnsiTheme="minorHAnsi" w:cstheme="minorHAnsi"/>
        </w:rPr>
        <w:t xml:space="preserve"> </w:t>
      </w:r>
      <w:r w:rsidR="00C64E86" w:rsidRPr="00687F57">
        <w:rPr>
          <w:rFonts w:asciiTheme="minorHAnsi" w:hAnsiTheme="minorHAnsi" w:cstheme="minorHAnsi"/>
        </w:rPr>
        <w:t>Α</w:t>
      </w:r>
      <w:r w:rsidRPr="00687F57">
        <w:rPr>
          <w:rFonts w:asciiTheme="minorHAnsi" w:hAnsiTheme="minorHAnsi" w:cstheme="minorHAnsi"/>
        </w:rPr>
        <w:t>ναλυτικά περιλαμβάνονται ρυθμίσεις για την αλιεία και την ανάπτυξη των υδατοκαλλιεργειών, το πολλαπλασιαστικό υλικό, τα λιπάσματα, τις έγγειες βελτιώσεις αλλά και τις κτηνοτροφικές εγκαταστάσεις και τα κτηνιατρικά φάρμακα. Τέλος</w:t>
      </w:r>
      <w:r w:rsidR="00C64E86" w:rsidRPr="00687F57">
        <w:rPr>
          <w:rFonts w:asciiTheme="minorHAnsi" w:hAnsiTheme="minorHAnsi" w:cstheme="minorHAnsi"/>
        </w:rPr>
        <w:t>,</w:t>
      </w:r>
      <w:r w:rsidRPr="00687F57">
        <w:rPr>
          <w:rFonts w:asciiTheme="minorHAnsi" w:hAnsiTheme="minorHAnsi" w:cstheme="minorHAnsi"/>
        </w:rPr>
        <w:t xml:space="preserve"> περιλαμβάνονται ρυθμίσεις βελτίωσης επί του νομοθετικού και κανονιστικού πλαισίου λειτουργίας των εποπτευόμενων φορέων του ΥΠΑΑΤ, και ιδίως του  Οργανισμού Ελληνικών Γεωργικών Ασφαλίσεων (ΕΛ.Γ.Α.) με σκοπό την ενίσχυση του έργου και του ρόλου του οργανισμού. Συνολικά με το προτεινόμενο σχέδιο νόμου επιδιώκεται η νομοθετική κάλυψη κενών και αστοχιών με στόχο τον εκσυγχρονισμό και την ανάδειξη της γεωργίας, της αλιείας και της κτηνοτροφίας, ως βασικών πυλώνων για την οικονομική ανάπτυξη της υπαίθρου και την αύξηση του ποσοστού συμμετοχής της αγροτικής παραγωγής στο Ακαθάριστο Εθνικό Προϊόν.</w:t>
      </w:r>
    </w:p>
    <w:p w:rsidR="0002236B" w:rsidRPr="00687F57" w:rsidRDefault="0002236B" w:rsidP="004B0C58">
      <w:pPr>
        <w:spacing w:line="360" w:lineRule="auto"/>
        <w:jc w:val="both"/>
        <w:rPr>
          <w:rFonts w:asciiTheme="minorHAnsi" w:hAnsiTheme="minorHAnsi" w:cstheme="minorHAnsi"/>
        </w:rPr>
      </w:pPr>
      <w:r w:rsidRPr="00687F57">
        <w:rPr>
          <w:rFonts w:asciiTheme="minorHAnsi" w:hAnsiTheme="minorHAnsi" w:cstheme="minorHAnsi"/>
        </w:rPr>
        <w:lastRenderedPageBreak/>
        <w:t>Τέλος, ως προς τα νομοτεχνικά θέματα, σημειώνεται ότι όπου στις διατάξεις του προτεινόμενου σχεδίου νόμου γίνεται παραπομπή σε διατάξεις άλλου νόμου ή κανονιστικής πράξης, πρόκειται για γνήσια παραπομπή, δηλαδή η παραπομπή γίνεται στις διατάξεις αυτές</w:t>
      </w:r>
      <w:r w:rsidR="00C64E86" w:rsidRPr="00687F57">
        <w:rPr>
          <w:rFonts w:asciiTheme="minorHAnsi" w:hAnsiTheme="minorHAnsi" w:cstheme="minorHAnsi"/>
        </w:rPr>
        <w:t>,</w:t>
      </w:r>
      <w:r w:rsidRPr="00687F57">
        <w:rPr>
          <w:rFonts w:asciiTheme="minorHAnsi" w:hAnsiTheme="minorHAnsi" w:cstheme="minorHAnsi"/>
        </w:rPr>
        <w:t xml:space="preserve"> όπως κάθε φορά αυτές ισχύουν. </w:t>
      </w:r>
    </w:p>
    <w:p w:rsidR="0002236B" w:rsidRPr="00687F57" w:rsidRDefault="0002236B" w:rsidP="004B0C58">
      <w:pPr>
        <w:spacing w:line="360" w:lineRule="auto"/>
        <w:jc w:val="both"/>
        <w:rPr>
          <w:rFonts w:asciiTheme="minorHAnsi" w:hAnsiTheme="minorHAnsi" w:cstheme="minorHAnsi"/>
        </w:rPr>
      </w:pPr>
    </w:p>
    <w:p w:rsidR="0002236B" w:rsidRPr="00687F57" w:rsidRDefault="0002236B" w:rsidP="004B0C58">
      <w:pPr>
        <w:spacing w:line="360" w:lineRule="auto"/>
        <w:jc w:val="both"/>
        <w:rPr>
          <w:rFonts w:asciiTheme="minorHAnsi" w:hAnsiTheme="minorHAnsi" w:cstheme="minorHAnsi"/>
        </w:rPr>
      </w:pPr>
      <w:r w:rsidRPr="00687F57">
        <w:rPr>
          <w:rFonts w:asciiTheme="minorHAnsi" w:hAnsiTheme="minorHAnsi" w:cstheme="minorHAnsi"/>
        </w:rPr>
        <w:t>Τα κεφάλαια του προτεινόμενου σχεδίου νόμου είναι τα εξής:</w:t>
      </w:r>
    </w:p>
    <w:p w:rsidR="0002236B" w:rsidRPr="00687F57" w:rsidRDefault="0002236B" w:rsidP="004B0C58">
      <w:pPr>
        <w:spacing w:line="360" w:lineRule="auto"/>
        <w:jc w:val="both"/>
        <w:rPr>
          <w:rFonts w:asciiTheme="minorHAnsi" w:hAnsiTheme="minorHAnsi" w:cstheme="minorHAnsi"/>
        </w:rPr>
      </w:pPr>
      <w:r w:rsidRPr="00687F57">
        <w:rPr>
          <w:rFonts w:asciiTheme="minorHAnsi" w:hAnsiTheme="minorHAnsi" w:cstheme="minorHAnsi"/>
        </w:rPr>
        <w:t>Κεφάλαιο Α΄:</w:t>
      </w:r>
      <w:r w:rsidRPr="00687F57">
        <w:rPr>
          <w:rFonts w:asciiTheme="minorHAnsi" w:hAnsiTheme="minorHAnsi" w:cstheme="minorHAnsi"/>
        </w:rPr>
        <w:tab/>
        <w:t xml:space="preserve"> Ρυθμίσεις θεμάτων αγροτικής ανάπτυξης</w:t>
      </w:r>
    </w:p>
    <w:p w:rsidR="0002236B" w:rsidRPr="00687F57" w:rsidRDefault="0002236B" w:rsidP="004B0C58">
      <w:pPr>
        <w:spacing w:line="360" w:lineRule="auto"/>
        <w:jc w:val="both"/>
        <w:rPr>
          <w:rFonts w:asciiTheme="minorHAnsi" w:hAnsiTheme="minorHAnsi" w:cstheme="minorHAnsi"/>
        </w:rPr>
      </w:pPr>
      <w:r w:rsidRPr="00687F57">
        <w:rPr>
          <w:rFonts w:asciiTheme="minorHAnsi" w:hAnsiTheme="minorHAnsi" w:cstheme="minorHAnsi"/>
        </w:rPr>
        <w:t>Κεφάλαιο Β΄:    Ρυθμίσεις θεμάτων γεωργίας – κτηνοτροφίας</w:t>
      </w:r>
    </w:p>
    <w:p w:rsidR="0002236B" w:rsidRPr="00687F57" w:rsidRDefault="0002236B" w:rsidP="004B0C58">
      <w:pPr>
        <w:spacing w:line="360" w:lineRule="auto"/>
        <w:jc w:val="both"/>
        <w:rPr>
          <w:rFonts w:asciiTheme="minorHAnsi" w:hAnsiTheme="minorHAnsi" w:cstheme="minorHAnsi"/>
        </w:rPr>
      </w:pPr>
      <w:r w:rsidRPr="00687F57">
        <w:rPr>
          <w:rFonts w:asciiTheme="minorHAnsi" w:hAnsiTheme="minorHAnsi" w:cstheme="minorHAnsi"/>
        </w:rPr>
        <w:t>Κεφάλαιο Γ΄:    Ρυθμίσεις θεμάτων αλιείας – υδατοκαλλιεργειών</w:t>
      </w:r>
    </w:p>
    <w:p w:rsidR="0002236B" w:rsidRPr="00687F57" w:rsidRDefault="0002236B" w:rsidP="004B0C58">
      <w:pPr>
        <w:spacing w:line="360" w:lineRule="auto"/>
        <w:jc w:val="both"/>
        <w:rPr>
          <w:rFonts w:asciiTheme="minorHAnsi" w:hAnsiTheme="minorHAnsi" w:cstheme="minorHAnsi"/>
        </w:rPr>
      </w:pPr>
      <w:r w:rsidRPr="00687F57">
        <w:rPr>
          <w:rFonts w:asciiTheme="minorHAnsi" w:hAnsiTheme="minorHAnsi" w:cstheme="minorHAnsi"/>
        </w:rPr>
        <w:t>Κεφάλαιο Δ΄:    Ρυθμίσεις κτηνιατρικών θεμάτων</w:t>
      </w:r>
    </w:p>
    <w:p w:rsidR="0002236B" w:rsidRPr="00687F57" w:rsidRDefault="0002236B" w:rsidP="004B0C58">
      <w:pPr>
        <w:spacing w:line="360" w:lineRule="auto"/>
        <w:jc w:val="both"/>
        <w:rPr>
          <w:rFonts w:asciiTheme="minorHAnsi" w:hAnsiTheme="minorHAnsi" w:cstheme="minorHAnsi"/>
        </w:rPr>
      </w:pPr>
      <w:r w:rsidRPr="00687F57">
        <w:rPr>
          <w:rFonts w:asciiTheme="minorHAnsi" w:hAnsiTheme="minorHAnsi" w:cstheme="minorHAnsi"/>
        </w:rPr>
        <w:t>Κεφάλαιο Ε΄:    Ρυθμίσεις θεμάτων εποπτευόμενων φορέων</w:t>
      </w:r>
    </w:p>
    <w:p w:rsidR="0002236B" w:rsidRPr="00687F57" w:rsidRDefault="0002236B" w:rsidP="004B0C58">
      <w:pPr>
        <w:spacing w:line="360" w:lineRule="auto"/>
        <w:jc w:val="both"/>
        <w:rPr>
          <w:rFonts w:asciiTheme="minorHAnsi" w:hAnsiTheme="minorHAnsi" w:cstheme="minorHAnsi"/>
        </w:rPr>
      </w:pPr>
      <w:r w:rsidRPr="00687F57">
        <w:rPr>
          <w:rFonts w:asciiTheme="minorHAnsi" w:hAnsiTheme="minorHAnsi" w:cstheme="minorHAnsi"/>
        </w:rPr>
        <w:t xml:space="preserve">Κεφάλαιο ΣΤ΄:   Οικονομικές και λοιπές ρυθμίσεις </w:t>
      </w:r>
    </w:p>
    <w:p w:rsidR="0002236B" w:rsidRPr="00687F57" w:rsidRDefault="0002236B" w:rsidP="004B0C58">
      <w:pPr>
        <w:spacing w:line="360" w:lineRule="auto"/>
        <w:jc w:val="both"/>
        <w:rPr>
          <w:rFonts w:asciiTheme="minorHAnsi" w:hAnsiTheme="minorHAnsi" w:cstheme="minorHAnsi"/>
        </w:rPr>
      </w:pPr>
    </w:p>
    <w:p w:rsidR="0002236B" w:rsidRPr="00687F57" w:rsidRDefault="0002236B" w:rsidP="00A5289E">
      <w:pPr>
        <w:spacing w:line="360" w:lineRule="auto"/>
        <w:ind w:firstLine="720"/>
        <w:rPr>
          <w:rFonts w:asciiTheme="minorHAnsi" w:hAnsiTheme="minorHAnsi" w:cstheme="minorHAnsi"/>
          <w:b/>
        </w:rPr>
      </w:pPr>
    </w:p>
    <w:p w:rsidR="0002236B" w:rsidRPr="00687F57" w:rsidRDefault="0002236B" w:rsidP="00A5289E">
      <w:pPr>
        <w:spacing w:line="360" w:lineRule="auto"/>
        <w:ind w:firstLine="720"/>
        <w:rPr>
          <w:rFonts w:asciiTheme="minorHAnsi" w:hAnsiTheme="minorHAnsi" w:cstheme="minorHAnsi"/>
          <w:b/>
        </w:rPr>
      </w:pPr>
      <w:r w:rsidRPr="00687F57">
        <w:rPr>
          <w:rFonts w:asciiTheme="minorHAnsi" w:hAnsiTheme="minorHAnsi" w:cstheme="minorHAnsi"/>
          <w:b/>
        </w:rPr>
        <w:t>Επί των κεφαλαίων και άρθρων του σχεδίου νόμου:</w:t>
      </w:r>
    </w:p>
    <w:p w:rsidR="0002236B" w:rsidRPr="00687F57" w:rsidRDefault="0002236B" w:rsidP="00D20269">
      <w:pPr>
        <w:spacing w:line="360" w:lineRule="auto"/>
        <w:rPr>
          <w:rFonts w:asciiTheme="minorHAnsi" w:hAnsiTheme="minorHAnsi" w:cstheme="minorHAnsi"/>
          <w:b/>
        </w:rPr>
      </w:pPr>
    </w:p>
    <w:p w:rsidR="0002236B" w:rsidRPr="00687F57" w:rsidRDefault="0002236B" w:rsidP="00D20269">
      <w:pPr>
        <w:spacing w:line="360" w:lineRule="auto"/>
        <w:rPr>
          <w:rFonts w:asciiTheme="minorHAnsi" w:hAnsiTheme="minorHAnsi" w:cstheme="minorHAnsi"/>
          <w:b/>
        </w:rPr>
      </w:pPr>
      <w:r w:rsidRPr="00687F57">
        <w:rPr>
          <w:rFonts w:asciiTheme="minorHAnsi" w:hAnsiTheme="minorHAnsi" w:cstheme="minorHAnsi"/>
          <w:b/>
        </w:rPr>
        <w:t>ΚΕΦΑΛΑΙΟ Α΄:</w:t>
      </w:r>
    </w:p>
    <w:p w:rsidR="0002236B" w:rsidRPr="00687F57" w:rsidRDefault="0002236B" w:rsidP="00D20269">
      <w:pPr>
        <w:spacing w:line="360" w:lineRule="auto"/>
        <w:rPr>
          <w:rFonts w:asciiTheme="minorHAnsi" w:hAnsiTheme="minorHAnsi" w:cstheme="minorHAnsi"/>
          <w:b/>
        </w:rPr>
      </w:pPr>
      <w:r w:rsidRPr="00687F57">
        <w:rPr>
          <w:rFonts w:asciiTheme="minorHAnsi" w:hAnsiTheme="minorHAnsi" w:cstheme="minorHAnsi"/>
          <w:b/>
        </w:rPr>
        <w:t>ΡΥΘΜΙΣΕΙΣ ΘΕΜΑΤΩΝ ΑΓΡΟΤΙΚΗΣ ΑΝΑΠΤΥΞΗΣ</w:t>
      </w:r>
    </w:p>
    <w:p w:rsidR="0002236B" w:rsidRPr="00687F57" w:rsidRDefault="0002236B" w:rsidP="00D20269">
      <w:pPr>
        <w:spacing w:line="360" w:lineRule="auto"/>
        <w:rPr>
          <w:rFonts w:asciiTheme="minorHAnsi" w:hAnsiTheme="minorHAnsi" w:cstheme="minorHAnsi"/>
          <w:b/>
        </w:rPr>
      </w:pPr>
    </w:p>
    <w:p w:rsidR="0002236B" w:rsidRPr="00687F57" w:rsidRDefault="0002236B" w:rsidP="001A0A64">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1</w:t>
      </w:r>
    </w:p>
    <w:p w:rsidR="0002236B" w:rsidRPr="00687F57" w:rsidRDefault="0002236B" w:rsidP="00687F57">
      <w:pPr>
        <w:spacing w:line="360" w:lineRule="auto"/>
        <w:outlineLvl w:val="0"/>
        <w:rPr>
          <w:rFonts w:asciiTheme="minorHAnsi" w:hAnsiTheme="minorHAnsi" w:cstheme="minorHAnsi"/>
          <w:b/>
          <w:bCs/>
          <w:lang w:val="en-GB"/>
        </w:rPr>
      </w:pPr>
      <w:r w:rsidRPr="00687F57">
        <w:rPr>
          <w:rFonts w:asciiTheme="minorHAnsi" w:hAnsiTheme="minorHAnsi" w:cstheme="minorHAnsi"/>
          <w:b/>
          <w:bCs/>
        </w:rPr>
        <w:t>Εθνική Επιτροπή Δικτύου Γεωργικής Λογιστικής Πληροφόρησης</w:t>
      </w:r>
    </w:p>
    <w:p w:rsidR="0002236B" w:rsidRPr="00687F57" w:rsidRDefault="0002236B" w:rsidP="001A0A64">
      <w:pPr>
        <w:spacing w:line="360" w:lineRule="auto"/>
        <w:jc w:val="both"/>
        <w:rPr>
          <w:rFonts w:asciiTheme="minorHAnsi" w:hAnsiTheme="minorHAnsi" w:cstheme="minorHAnsi"/>
        </w:rPr>
      </w:pPr>
      <w:r w:rsidRPr="00687F57">
        <w:rPr>
          <w:rFonts w:asciiTheme="minorHAnsi" w:hAnsiTheme="minorHAnsi" w:cstheme="minorHAnsi"/>
        </w:rPr>
        <w:t xml:space="preserve">Η προτεινόμενη διάταξη κρίνεται αναγκαία για την ολοκληρωμένη ρύθμιση θεμάτων που αφορούν το Δίκτυο Γεωργικής Λογιστικής Πληροφόρησης (ελλ. ΔΙΓΕΛΠ, αγγλ. </w:t>
      </w:r>
      <w:r w:rsidRPr="00687F57">
        <w:rPr>
          <w:rFonts w:asciiTheme="minorHAnsi" w:hAnsiTheme="minorHAnsi" w:cstheme="minorHAnsi"/>
          <w:lang w:val="en-US"/>
        </w:rPr>
        <w:t>FADN</w:t>
      </w:r>
      <w:r w:rsidRPr="00687F57">
        <w:rPr>
          <w:rFonts w:asciiTheme="minorHAnsi" w:hAnsiTheme="minorHAnsi" w:cstheme="minorHAnsi"/>
        </w:rPr>
        <w:t xml:space="preserve">, γαλλ. </w:t>
      </w:r>
      <w:r w:rsidRPr="00687F57">
        <w:rPr>
          <w:rFonts w:asciiTheme="minorHAnsi" w:hAnsiTheme="minorHAnsi" w:cstheme="minorHAnsi"/>
          <w:lang w:val="en-US"/>
        </w:rPr>
        <w:t>RICA</w:t>
      </w:r>
      <w:r w:rsidRPr="00687F57">
        <w:rPr>
          <w:rFonts w:asciiTheme="minorHAnsi" w:hAnsiTheme="minorHAnsi" w:cstheme="minorHAnsi"/>
        </w:rPr>
        <w:t xml:space="preserve">), το οποίο λειτουργεί από το 1981 για λογαριασμό της Ευρωπαϊκής Επιτροπής σε ετήσια βάση ταυτόχρονα σε όλα τα κράτη-μέλη της ΕΕ και διέπεται από τον κανονισμό (ΕΚ) αριθ. 1217/2009 του Συμβουλίου (ΕΕ </w:t>
      </w:r>
      <w:r w:rsidRPr="00687F57">
        <w:rPr>
          <w:rFonts w:asciiTheme="minorHAnsi" w:hAnsiTheme="minorHAnsi" w:cstheme="minorHAnsi"/>
          <w:lang w:val="en-US"/>
        </w:rPr>
        <w:t>L</w:t>
      </w:r>
      <w:r w:rsidRPr="00687F57">
        <w:rPr>
          <w:rFonts w:asciiTheme="minorHAnsi" w:hAnsiTheme="minorHAnsi" w:cstheme="minorHAnsi"/>
        </w:rPr>
        <w:t xml:space="preserve"> 328, 15.12.2009, σ. 27). Αφορά στην ετήσια δειγματοληψία, με συγκεκριμένη μεθοδολογία, λογιστικών δεδομένων εισροών-εκροών από γεωργικές εκμεταλλεύσεις της ΕΕ. Τα δεδομένα που συγκεντρώνονται αξιοποιούνται στην εκτίμηση των επιδράσεων των μέτρων της Κοινής Αγροτικής Πολιτικής. </w:t>
      </w:r>
    </w:p>
    <w:p w:rsidR="0002236B" w:rsidRPr="00687F57" w:rsidRDefault="0002236B" w:rsidP="001A0A64">
      <w:pPr>
        <w:spacing w:line="360" w:lineRule="auto"/>
        <w:jc w:val="both"/>
        <w:rPr>
          <w:rFonts w:asciiTheme="minorHAnsi" w:hAnsiTheme="minorHAnsi" w:cstheme="minorHAnsi"/>
        </w:rPr>
      </w:pPr>
      <w:r w:rsidRPr="00687F57">
        <w:rPr>
          <w:rFonts w:asciiTheme="minorHAnsi" w:hAnsiTheme="minorHAnsi" w:cstheme="minorHAnsi"/>
        </w:rPr>
        <w:t xml:space="preserve">Ειδικότερα, με την προτεινόμενη διάταξη, με την οποία αντικαθίσταται η παρ. 1 του άρθρου 42 του ν. 4384/2016 (Α΄78): </w:t>
      </w:r>
    </w:p>
    <w:p w:rsidR="0002236B" w:rsidRPr="00687F57" w:rsidRDefault="0002236B" w:rsidP="001A0A64">
      <w:pPr>
        <w:spacing w:line="360" w:lineRule="auto"/>
        <w:jc w:val="both"/>
        <w:rPr>
          <w:rFonts w:asciiTheme="minorHAnsi" w:hAnsiTheme="minorHAnsi" w:cstheme="minorHAnsi"/>
          <w:bCs/>
        </w:rPr>
      </w:pPr>
      <w:r w:rsidRPr="00687F57">
        <w:rPr>
          <w:rFonts w:asciiTheme="minorHAnsi" w:hAnsiTheme="minorHAnsi" w:cstheme="minorHAnsi"/>
        </w:rPr>
        <w:lastRenderedPageBreak/>
        <w:t>α) Συνιστάται στο Υπουργείο Αγροτικής Ανάπτυξης και Τροφίμων η προβλεπόμενη από το άρθρο 5α του κανονισμού (ΕΚ) αριθ. 1217/2009 «Εθνική Επιτροπή Δικτύου Γεωργικής Λογιστικής Πληροφόρησης». Με απόφαση του Υπουργού Αγροτικής Ανάπτυξης και Τροφίμων καθορίζ</w:t>
      </w:r>
      <w:r w:rsidR="00C64E86" w:rsidRPr="00687F57">
        <w:rPr>
          <w:rFonts w:asciiTheme="minorHAnsi" w:hAnsiTheme="minorHAnsi" w:cstheme="minorHAnsi"/>
        </w:rPr>
        <w:t>ον</w:t>
      </w:r>
      <w:r w:rsidRPr="00687F57">
        <w:rPr>
          <w:rFonts w:asciiTheme="minorHAnsi" w:hAnsiTheme="minorHAnsi" w:cstheme="minorHAnsi"/>
        </w:rPr>
        <w:t>ται η συγκρότηση, η θητεία και κάθε ειδικότερο ζήτημα σχετικ</w:t>
      </w:r>
      <w:r w:rsidR="00C64E86" w:rsidRPr="00687F57">
        <w:rPr>
          <w:rFonts w:asciiTheme="minorHAnsi" w:hAnsiTheme="minorHAnsi" w:cstheme="minorHAnsi"/>
        </w:rPr>
        <w:t>ά</w:t>
      </w:r>
      <w:r w:rsidRPr="00687F57">
        <w:rPr>
          <w:rFonts w:asciiTheme="minorHAnsi" w:hAnsiTheme="minorHAnsi" w:cstheme="minorHAnsi"/>
        </w:rPr>
        <w:t xml:space="preserve"> με τον τρόπο λειτουργίας της ανωτέρω Επιτροπής.</w:t>
      </w:r>
    </w:p>
    <w:p w:rsidR="0002236B" w:rsidRPr="00687F57" w:rsidRDefault="0002236B" w:rsidP="001A0A64">
      <w:pPr>
        <w:spacing w:line="360" w:lineRule="auto"/>
        <w:jc w:val="both"/>
        <w:rPr>
          <w:rFonts w:asciiTheme="minorHAnsi" w:hAnsiTheme="minorHAnsi" w:cstheme="minorHAnsi"/>
        </w:rPr>
      </w:pPr>
      <w:r w:rsidRPr="00687F57">
        <w:rPr>
          <w:rFonts w:asciiTheme="minorHAnsi" w:hAnsiTheme="minorHAnsi" w:cstheme="minorHAnsi"/>
        </w:rPr>
        <w:t xml:space="preserve">β) Το Τμήμα Δικτύου Γεωργικής Λογιστικής Πληροφόρησης της Διεύθυνσης Αγροτικής Πολιτικής, Τεκμηρίωσης και Διεθνών Σχέσεων του ΥΠΑΑΤ ορίζεται ως: </w:t>
      </w:r>
    </w:p>
    <w:p w:rsidR="0002236B" w:rsidRPr="00687F57" w:rsidRDefault="0002236B" w:rsidP="001A0A64">
      <w:pPr>
        <w:spacing w:line="360" w:lineRule="auto"/>
        <w:jc w:val="both"/>
        <w:rPr>
          <w:rFonts w:asciiTheme="minorHAnsi" w:hAnsiTheme="minorHAnsi" w:cstheme="minorHAnsi"/>
        </w:rPr>
      </w:pPr>
      <w:r w:rsidRPr="00687F57">
        <w:rPr>
          <w:rFonts w:asciiTheme="minorHAnsi" w:hAnsiTheme="minorHAnsi" w:cstheme="minorHAnsi"/>
        </w:rPr>
        <w:t>αα) Η αρμόδια αρχή για τη συγκέντρωση και τη διασταύρωση όλων των δεδομένων που απαιτούνται για την εκτίμηση των τυπικών αποδόσεων (standard output) φυτικής και ζωικής παραγωγής, την εκτίμηση και διαβίβαση των τυπικών αποδόσεων στην Ευρωπαϊκή Επιτροπή και στη Eurostat και την υλοποίηση της τυπολογίας των γεωργικών εκμεταλλεύσεων (άρθρο 5β του κανονισμού (ΕΚ) αριθ. 1217/2009). Η τυπική απόδοση είναι το κριτήριο ταξινόμησης των γεωργικών εκμεταλλεύσεων σε επίπεδο ΕΕ.</w:t>
      </w:r>
    </w:p>
    <w:p w:rsidR="0002236B" w:rsidRPr="00687F57" w:rsidRDefault="0002236B" w:rsidP="001A0A64">
      <w:pPr>
        <w:spacing w:line="360" w:lineRule="auto"/>
        <w:jc w:val="both"/>
        <w:rPr>
          <w:rFonts w:asciiTheme="minorHAnsi" w:hAnsiTheme="minorHAnsi" w:cstheme="minorHAnsi"/>
        </w:rPr>
      </w:pPr>
      <w:r w:rsidRPr="00687F57">
        <w:rPr>
          <w:rFonts w:asciiTheme="minorHAnsi" w:hAnsiTheme="minorHAnsi" w:cstheme="minorHAnsi"/>
        </w:rPr>
        <w:t xml:space="preserve"> ββ) Το όργανο-σύνδεσμος της παρ. 1 του άρθρου 7 του κανονισμού (ΕΚ) αριθ. 1217/2009.</w:t>
      </w:r>
    </w:p>
    <w:p w:rsidR="0002236B" w:rsidRPr="00687F57" w:rsidRDefault="0002236B" w:rsidP="001A0A64">
      <w:pPr>
        <w:spacing w:line="360" w:lineRule="auto"/>
        <w:jc w:val="both"/>
        <w:rPr>
          <w:rFonts w:asciiTheme="minorHAnsi" w:hAnsiTheme="minorHAnsi" w:cstheme="minorHAnsi"/>
        </w:rPr>
      </w:pPr>
      <w:r w:rsidRPr="00687F57">
        <w:rPr>
          <w:rFonts w:asciiTheme="minorHAnsi" w:hAnsiTheme="minorHAnsi" w:cstheme="minorHAnsi"/>
        </w:rPr>
        <w:t xml:space="preserve">Περαιτέρω, με την προτεινόμενη διάταξη δίδονται οι νομοθετικές εξουσιοδοτήσεις που απαιτούνται για την έκδοση κανονιστικών πράξεων που είναι αναγκαίες για τη λειτουργία του ΔΙΓΕΛΠ σε εθνικό επίπεδο. Οι κανονιστικές αυτές πράξεις έχουν ως εξής: </w:t>
      </w:r>
    </w:p>
    <w:p w:rsidR="0002236B" w:rsidRPr="00687F57" w:rsidRDefault="0002236B" w:rsidP="001A0A64">
      <w:pPr>
        <w:spacing w:line="360" w:lineRule="auto"/>
        <w:jc w:val="both"/>
        <w:rPr>
          <w:rFonts w:asciiTheme="minorHAnsi" w:hAnsiTheme="minorHAnsi" w:cstheme="minorHAnsi"/>
        </w:rPr>
      </w:pPr>
      <w:r w:rsidRPr="00687F57">
        <w:rPr>
          <w:rFonts w:asciiTheme="minorHAnsi" w:hAnsiTheme="minorHAnsi" w:cstheme="minorHAnsi"/>
        </w:rPr>
        <w:t xml:space="preserve">α) Απόφαση του Υπουργού Αγροτικής Ανάπτυξης και Τροφίμων για τον καθορισμό του σχεδίου κατανομής των γεωργικών εκμεταλλεύσεων στο εσωτερικό της χώρας, των αρμοδίων αρχών, της διαδικασίας </w:t>
      </w:r>
      <w:r w:rsidRPr="00687F57">
        <w:rPr>
          <w:rFonts w:asciiTheme="minorHAnsi" w:hAnsiTheme="minorHAnsi" w:cstheme="minorHAnsi"/>
          <w:bCs/>
        </w:rPr>
        <w:t xml:space="preserve">και των λεπτομερειών εφαρμογής </w:t>
      </w:r>
      <w:r w:rsidRPr="00687F57">
        <w:rPr>
          <w:rFonts w:asciiTheme="minorHAnsi" w:hAnsiTheme="minorHAnsi" w:cstheme="minorHAnsi"/>
        </w:rPr>
        <w:t xml:space="preserve">για τη λειτουργία του ΔΙΓΕΛΠ. </w:t>
      </w:r>
    </w:p>
    <w:p w:rsidR="0002236B" w:rsidRPr="00687F57" w:rsidRDefault="0002236B" w:rsidP="001A0A64">
      <w:pPr>
        <w:spacing w:line="360" w:lineRule="auto"/>
        <w:jc w:val="both"/>
        <w:rPr>
          <w:rFonts w:asciiTheme="minorHAnsi" w:hAnsiTheme="minorHAnsi" w:cstheme="minorHAnsi"/>
        </w:rPr>
      </w:pPr>
      <w:r w:rsidRPr="00687F57">
        <w:rPr>
          <w:rFonts w:asciiTheme="minorHAnsi" w:hAnsiTheme="minorHAnsi" w:cstheme="minorHAnsi"/>
        </w:rPr>
        <w:t>β) Απόφαση του Υπουργού Αγροτικής Ανάπτυξης και Τροφίμων για την οριστικοποίηση της κατανομής των γεωργικών εκμεταλλεύσεων του προαναφερθέντος σχεδίου κατανομής και τον καθορισμό του ύψους της κατ’ έτος κατ’ αποκοπή αμοιβής των γεωργών (κατά την έννοια του άρθρου 2 του κανονισμού (ΕΚ) αριθ. 1217/2009)  που παρέχουν στοιχεία στο ΔΙΓΕΛΠ.</w:t>
      </w:r>
    </w:p>
    <w:p w:rsidR="0002236B" w:rsidRPr="00687F57" w:rsidRDefault="0002236B" w:rsidP="001A0A64">
      <w:pPr>
        <w:spacing w:line="360" w:lineRule="auto"/>
        <w:jc w:val="both"/>
        <w:rPr>
          <w:rFonts w:asciiTheme="minorHAnsi" w:hAnsiTheme="minorHAnsi" w:cstheme="minorHAnsi"/>
        </w:rPr>
      </w:pPr>
      <w:r w:rsidRPr="00687F57">
        <w:rPr>
          <w:rFonts w:asciiTheme="minorHAnsi" w:hAnsiTheme="minorHAnsi" w:cstheme="minorHAnsi"/>
        </w:rPr>
        <w:t>γ) Απόφαση του Υπουργού Αγροτικής Ανάπτυξης και Τροφίμων για τον καθορισμό των αρμοδίων αρχών, της διαδικασίας,</w:t>
      </w:r>
      <w:r w:rsidRPr="00687F57">
        <w:rPr>
          <w:rFonts w:asciiTheme="minorHAnsi" w:hAnsiTheme="minorHAnsi" w:cstheme="minorHAnsi"/>
          <w:bCs/>
        </w:rPr>
        <w:t xml:space="preserve"> των λεπτομερειών εφαρμογής</w:t>
      </w:r>
      <w:r w:rsidRPr="00687F57">
        <w:rPr>
          <w:rFonts w:asciiTheme="minorHAnsi" w:hAnsiTheme="minorHAnsi" w:cstheme="minorHAnsi"/>
        </w:rPr>
        <w:t xml:space="preserve"> και του ύψους της κατ’ έτος κατ’ αποκοπή αμοιβής για τη διενέργεια προσανατολισμένων </w:t>
      </w:r>
      <w:r w:rsidRPr="00687F57">
        <w:rPr>
          <w:rFonts w:asciiTheme="minorHAnsi" w:hAnsiTheme="minorHAnsi" w:cstheme="minorHAnsi"/>
        </w:rPr>
        <w:lastRenderedPageBreak/>
        <w:t>δειγματοληψιών σε εθνικό επίπεδο, για συγκεκριμένα γεωργικά προϊόντα ή/και σε γεωργικές εκμεταλλεύσεις με συγκεκριμένα χαρακτηριστικά, που διενεργούνται στα πρότυπα του ΔΙΓΕΛΠ. Οι προσανατολισμένες δειγματοληψίες είναι επικουρικές της δειγματοληψίας του ΔΙΓΕΛΠ και αφορούν στην εκτίμηση</w:t>
      </w:r>
      <w:r w:rsidRPr="00687F57">
        <w:rPr>
          <w:rFonts w:asciiTheme="minorHAnsi" w:hAnsiTheme="minorHAnsi" w:cstheme="minorHAnsi"/>
          <w:bCs/>
          <w:color w:val="000000"/>
        </w:rPr>
        <w:t xml:space="preserve"> ή/και τη </w:t>
      </w:r>
      <w:r w:rsidRPr="00687F57">
        <w:rPr>
          <w:rFonts w:asciiTheme="minorHAnsi" w:hAnsiTheme="minorHAnsi" w:cstheme="minorHAnsi"/>
        </w:rPr>
        <w:t>διερεύνηση των οικονομικών αποτελεσμάτων συγκεκριμένων γεωργικών προϊόντων ή γεωργικών εκμεταλλεύσεων με συγκεκριμένα χαρακτηριστικά.</w:t>
      </w:r>
    </w:p>
    <w:p w:rsidR="0002236B" w:rsidRPr="00687F57" w:rsidRDefault="0002236B" w:rsidP="001A0A64">
      <w:pPr>
        <w:spacing w:line="360" w:lineRule="auto"/>
        <w:jc w:val="both"/>
        <w:rPr>
          <w:rFonts w:asciiTheme="minorHAnsi" w:hAnsiTheme="minorHAnsi" w:cstheme="minorHAnsi"/>
          <w:bCs/>
        </w:rPr>
      </w:pPr>
      <w:r w:rsidRPr="00687F57">
        <w:rPr>
          <w:rFonts w:asciiTheme="minorHAnsi" w:hAnsiTheme="minorHAnsi" w:cstheme="minorHAnsi"/>
        </w:rPr>
        <w:t xml:space="preserve">δ) Απόφαση του Υπουργού Αγροτικής Ανάπτυξης και Τροφίμων για τον καθορισμό </w:t>
      </w:r>
      <w:r w:rsidRPr="00687F57">
        <w:rPr>
          <w:rFonts w:asciiTheme="minorHAnsi" w:hAnsiTheme="minorHAnsi" w:cstheme="minorHAnsi"/>
          <w:bCs/>
        </w:rPr>
        <w:t xml:space="preserve">των αρμοδίων αρχών, της διαδικασίας, των λεπτομερειών εφαρμογής και του ύψους της κατ’ έτος κατ’ αποκοπή αμοιβής στους </w:t>
      </w:r>
      <w:r w:rsidRPr="00687F57">
        <w:rPr>
          <w:rFonts w:asciiTheme="minorHAnsi" w:hAnsiTheme="minorHAnsi" w:cstheme="minorHAnsi"/>
        </w:rPr>
        <w:t xml:space="preserve">γεωργούς </w:t>
      </w:r>
      <w:r w:rsidRPr="00687F57">
        <w:rPr>
          <w:rFonts w:asciiTheme="minorHAnsi" w:hAnsiTheme="minorHAnsi" w:cstheme="minorHAnsi"/>
          <w:bCs/>
        </w:rPr>
        <w:t xml:space="preserve"> για την εκτίμηση των τυπικών αποδόσεων (standard output) φυτικής και ζωικής παραγωγής </w:t>
      </w:r>
      <w:r w:rsidRPr="00687F57">
        <w:rPr>
          <w:rFonts w:asciiTheme="minorHAnsi" w:hAnsiTheme="minorHAnsi" w:cstheme="minorHAnsi"/>
          <w:bCs/>
          <w:color w:val="000000"/>
        </w:rPr>
        <w:t xml:space="preserve">ή/και </w:t>
      </w:r>
      <w:r w:rsidRPr="00687F57">
        <w:rPr>
          <w:rFonts w:asciiTheme="minorHAnsi" w:hAnsiTheme="minorHAnsi" w:cstheme="minorHAnsi"/>
          <w:bCs/>
        </w:rPr>
        <w:t xml:space="preserve">την υλοποίηση της τυπολογίας γεωργικών εκμεταλλεύσεων. </w:t>
      </w:r>
    </w:p>
    <w:p w:rsidR="0002236B" w:rsidRPr="00687F57" w:rsidRDefault="0002236B" w:rsidP="001A0A64">
      <w:pPr>
        <w:spacing w:line="360" w:lineRule="auto"/>
        <w:jc w:val="both"/>
        <w:rPr>
          <w:rFonts w:asciiTheme="minorHAnsi" w:hAnsiTheme="minorHAnsi" w:cstheme="minorHAnsi"/>
        </w:rPr>
      </w:pPr>
      <w:r w:rsidRPr="00687F57">
        <w:rPr>
          <w:rFonts w:asciiTheme="minorHAnsi" w:hAnsiTheme="minorHAnsi" w:cstheme="minorHAnsi"/>
        </w:rPr>
        <w:t>ε) Αποφάσεις του Υπουργού Αγροτικής Ανάπτυξης και Τροφίμων και του κατά περίπτωση συναρμόδιου Υπουργού, ανάλογα με την πηγή της χρηματοδότησης (πρόγραμμα δημοσίων επενδύσεων ή/και τακτικός προϋπολογισμός), για την έγκριση του ύψους της δαπάνης, τη διάθεση και την κατανομή των πιστώσεων, τη διαδικασία και τις λεπτομέρειες εφαρμογής που αφορούν στη χρηματοδότηση του ΔΙΓΕΛΠ, των προσανατολισμένων δειγματοληψιών, της εκτίμησης των τυπικών αποδόσεων φυτικής και ζωικής παραγωγής ή/και της υλοποίησης της τυπολογίας των γεωργικών εκμεταλλεύσεων, κατά περίπτωση.</w:t>
      </w:r>
    </w:p>
    <w:p w:rsidR="0002236B" w:rsidRPr="00687F57" w:rsidRDefault="0002236B" w:rsidP="00B02851">
      <w:pPr>
        <w:spacing w:line="360" w:lineRule="auto"/>
        <w:outlineLvl w:val="0"/>
        <w:rPr>
          <w:rFonts w:asciiTheme="minorHAnsi" w:hAnsiTheme="minorHAnsi" w:cstheme="minorHAnsi"/>
          <w:b/>
          <w:bCs/>
        </w:rPr>
      </w:pPr>
    </w:p>
    <w:p w:rsidR="0002236B" w:rsidRPr="00687F57" w:rsidRDefault="0002236B" w:rsidP="00B02851">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2</w:t>
      </w:r>
    </w:p>
    <w:p w:rsidR="0002236B" w:rsidRPr="00687F57" w:rsidRDefault="0002236B" w:rsidP="00687F57">
      <w:pPr>
        <w:spacing w:line="360" w:lineRule="auto"/>
        <w:rPr>
          <w:rFonts w:asciiTheme="minorHAnsi" w:hAnsiTheme="minorHAnsi" w:cstheme="minorHAnsi"/>
          <w:b/>
        </w:rPr>
      </w:pPr>
      <w:r w:rsidRPr="00687F57">
        <w:rPr>
          <w:rFonts w:asciiTheme="minorHAnsi" w:hAnsiTheme="minorHAnsi" w:cstheme="minorHAnsi"/>
          <w:b/>
        </w:rPr>
        <w:t>Έγγειες βελτιώσεις</w:t>
      </w:r>
      <w:r w:rsidRPr="00687F57">
        <w:rPr>
          <w:rFonts w:asciiTheme="minorHAnsi" w:hAnsiTheme="minorHAnsi" w:cstheme="minorHAnsi"/>
        </w:rPr>
        <w:tab/>
      </w:r>
    </w:p>
    <w:p w:rsidR="0002236B" w:rsidRPr="00687F57" w:rsidRDefault="0002236B" w:rsidP="001A0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rPr>
      </w:pPr>
      <w:r w:rsidRPr="00687F57">
        <w:rPr>
          <w:rFonts w:asciiTheme="minorHAnsi" w:hAnsiTheme="minorHAnsi" w:cstheme="minorHAnsi"/>
        </w:rPr>
        <w:t>Με την παρ. 1 του προτεινόμενου άρθρου τροποποιείται η περ. α΄ της παρ. 4 του άρθρου 2 του ν. 414/1976 με την προσθήκη εδαφίου, προκειμένου να περιγραφεί σαφώς ο τρόπος με τον οποίο και η Περιφέρεια δύναται να συμμετέχει στις δαπάνες των παραγράφων 1 και 2α, όπως η παράγραφος 2α προστέθηκε με την παρ. 6 του άρθρου 66 του ν. 4546/2018 (Α΄ 101).</w:t>
      </w:r>
    </w:p>
    <w:p w:rsidR="0002236B" w:rsidRPr="00687F57" w:rsidRDefault="0002236B" w:rsidP="001A0A64">
      <w:pPr>
        <w:spacing w:line="360" w:lineRule="auto"/>
        <w:jc w:val="both"/>
        <w:rPr>
          <w:rFonts w:asciiTheme="minorHAnsi" w:hAnsiTheme="minorHAnsi" w:cstheme="minorHAnsi"/>
        </w:rPr>
      </w:pPr>
      <w:r w:rsidRPr="00687F57">
        <w:rPr>
          <w:rFonts w:asciiTheme="minorHAnsi" w:hAnsiTheme="minorHAnsi" w:cstheme="minorHAnsi"/>
        </w:rPr>
        <w:t>Με την παρ. 2 αντικαθίσταται η περ. α΄ της παρ. 4 του άρθρου 46 του ν. 4456/2017 και καταργείται το τελευταίο εδάφιο της περίπτωσης αυτής, προκειμένου να αποσαφηνισθεί ότι κάθε θέμα σχετικό με τη μεταβίβαση εγγειοβελτιωτικών έργων του ΥΠΑΑΤ σε Δήμους ρυθμίζεται με σχετική απόφαση του Υπουργού Αγροτικής Ανάπτυξης και Τροφίμων.</w:t>
      </w:r>
    </w:p>
    <w:p w:rsidR="0002236B" w:rsidRPr="00687F57" w:rsidRDefault="0002236B" w:rsidP="001A0A64">
      <w:pPr>
        <w:spacing w:line="360" w:lineRule="auto"/>
        <w:jc w:val="both"/>
        <w:rPr>
          <w:rFonts w:asciiTheme="minorHAnsi" w:hAnsiTheme="minorHAnsi" w:cstheme="minorHAnsi"/>
          <w:strike/>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3</w:t>
      </w:r>
    </w:p>
    <w:p w:rsidR="0002236B" w:rsidRPr="00687F57" w:rsidRDefault="0002236B" w:rsidP="00687F57">
      <w:pPr>
        <w:spacing w:line="360" w:lineRule="auto"/>
        <w:rPr>
          <w:rFonts w:asciiTheme="minorHAnsi" w:hAnsiTheme="minorHAnsi" w:cstheme="minorHAnsi"/>
          <w:b/>
          <w:bCs/>
          <w:lang w:val="en-GB"/>
        </w:rPr>
      </w:pPr>
      <w:r w:rsidRPr="00687F57">
        <w:rPr>
          <w:rFonts w:asciiTheme="minorHAnsi" w:hAnsiTheme="minorHAnsi" w:cstheme="minorHAnsi"/>
          <w:b/>
          <w:bCs/>
        </w:rPr>
        <w:t>Τεχνική Γνωμοδοτική Επιτροπή Λιπασμάτων</w:t>
      </w:r>
    </w:p>
    <w:p w:rsidR="0002236B" w:rsidRPr="00687F57" w:rsidRDefault="0002236B" w:rsidP="001A0A64">
      <w:pPr>
        <w:spacing w:line="360" w:lineRule="auto"/>
        <w:jc w:val="both"/>
        <w:rPr>
          <w:rFonts w:asciiTheme="minorHAnsi" w:hAnsiTheme="minorHAnsi" w:cstheme="minorHAnsi"/>
          <w:color w:val="FF0000"/>
        </w:rPr>
      </w:pPr>
      <w:r w:rsidRPr="00687F57">
        <w:rPr>
          <w:rFonts w:asciiTheme="minorHAnsi" w:hAnsiTheme="minorHAnsi" w:cstheme="minorHAnsi"/>
        </w:rPr>
        <w:t>Με την παρ. 1 του προτεινόμενου άρθρου  αντικαθίσταται το στοιχείο εε΄ της υποπερ. α΄ της περ. Β΄ της παρ. 1 του άρθρου 3 του ν.</w:t>
      </w:r>
      <w:r w:rsidR="00655D1D" w:rsidRPr="00687F57">
        <w:rPr>
          <w:rFonts w:asciiTheme="minorHAnsi" w:hAnsiTheme="minorHAnsi" w:cstheme="minorHAnsi"/>
        </w:rPr>
        <w:t xml:space="preserve"> </w:t>
      </w:r>
      <w:r w:rsidRPr="00687F57">
        <w:rPr>
          <w:rFonts w:asciiTheme="minorHAnsi" w:hAnsiTheme="minorHAnsi" w:cstheme="minorHAnsi"/>
        </w:rPr>
        <w:t xml:space="preserve">1565/1985 (Α΄ 164), προκειμένου να ορισθεί ότι δεν υφίσταται υποχρέωση τήρησης των προϋποθέσεων των υπ’ </w:t>
      </w:r>
      <w:r w:rsidRPr="00687F57">
        <w:rPr>
          <w:rFonts w:asciiTheme="minorHAnsi" w:hAnsiTheme="minorHAnsi" w:cstheme="minorHAnsi"/>
          <w:color w:val="231F20"/>
        </w:rPr>
        <w:t xml:space="preserve">αρ. 80568/4225/22.3.1991 </w:t>
      </w:r>
      <w:r w:rsidRPr="00687F57">
        <w:rPr>
          <w:rFonts w:asciiTheme="minorHAnsi" w:hAnsiTheme="minorHAnsi" w:cstheme="minorHAnsi"/>
        </w:rPr>
        <w:t xml:space="preserve">(Β΄ 641) και </w:t>
      </w:r>
      <w:r w:rsidRPr="00687F57">
        <w:rPr>
          <w:rFonts w:asciiTheme="minorHAnsi" w:hAnsiTheme="minorHAnsi" w:cstheme="minorHAnsi"/>
          <w:color w:val="231F20"/>
        </w:rPr>
        <w:t xml:space="preserve">114218/31.10.1997 (Β΄ 1016) αποφάσεων </w:t>
      </w:r>
      <w:r w:rsidRPr="00687F57">
        <w:rPr>
          <w:rFonts w:asciiTheme="minorHAnsi" w:hAnsiTheme="minorHAnsi" w:cstheme="minorHAnsi"/>
        </w:rPr>
        <w:t xml:space="preserve">για τις </w:t>
      </w:r>
      <w:r w:rsidRPr="00687F57">
        <w:rPr>
          <w:rFonts w:asciiTheme="minorHAnsi" w:hAnsiTheme="minorHAnsi" w:cstheme="minorHAnsi"/>
          <w:color w:val="231F20"/>
        </w:rPr>
        <w:t>πρώτες ύλες των λιπασμάτων που</w:t>
      </w:r>
      <w:r w:rsidRPr="00687F57">
        <w:rPr>
          <w:rFonts w:asciiTheme="minorHAnsi" w:hAnsiTheme="minorHAnsi" w:cstheme="minorHAnsi"/>
        </w:rPr>
        <w:t xml:space="preserve"> περιέχουν αστικά ή βιομηχανικά </w:t>
      </w:r>
      <w:r w:rsidRPr="00687F57">
        <w:rPr>
          <w:rFonts w:asciiTheme="minorHAnsi" w:hAnsiTheme="minorHAnsi" w:cstheme="minorHAnsi"/>
          <w:color w:val="000000"/>
        </w:rPr>
        <w:t>απόβλητα.</w:t>
      </w:r>
      <w:r w:rsidRPr="00687F57">
        <w:rPr>
          <w:rFonts w:asciiTheme="minorHAnsi" w:hAnsiTheme="minorHAnsi" w:cstheme="minorHAnsi"/>
          <w:color w:val="FF0000"/>
        </w:rPr>
        <w:t xml:space="preserve"> </w:t>
      </w:r>
    </w:p>
    <w:p w:rsidR="0002236B" w:rsidRPr="00687F57" w:rsidRDefault="0002236B" w:rsidP="001A0A64">
      <w:pPr>
        <w:spacing w:line="360" w:lineRule="auto"/>
        <w:ind w:right="22"/>
        <w:jc w:val="both"/>
        <w:rPr>
          <w:rFonts w:asciiTheme="minorHAnsi" w:hAnsiTheme="minorHAnsi" w:cstheme="minorHAnsi"/>
        </w:rPr>
      </w:pPr>
      <w:r w:rsidRPr="00687F57">
        <w:rPr>
          <w:rFonts w:asciiTheme="minorHAnsi" w:hAnsiTheme="minorHAnsi" w:cstheme="minorHAnsi"/>
        </w:rPr>
        <w:t xml:space="preserve">Η προτεινόμενη ρύθμιση, η οποία συντελεί και στην απλούστευση της διοικητικής διαδικασίας αξιολόγησης των νέων τύπων λιπασμάτων που προέρχονται από </w:t>
      </w:r>
      <w:r w:rsidRPr="00687F57">
        <w:rPr>
          <w:rFonts w:asciiTheme="minorHAnsi" w:hAnsiTheme="minorHAnsi" w:cstheme="minorHAnsi"/>
          <w:color w:val="231F20"/>
        </w:rPr>
        <w:t>αστικά ή βιομηχανικά απόβλητα</w:t>
      </w:r>
      <w:r w:rsidRPr="00687F57">
        <w:rPr>
          <w:rFonts w:asciiTheme="minorHAnsi" w:hAnsiTheme="minorHAnsi" w:cstheme="minorHAnsi"/>
        </w:rPr>
        <w:t xml:space="preserve"> κρίνεται αναγκαία, δεδομένου ότι: α) </w:t>
      </w:r>
      <w:r w:rsidRPr="00687F57">
        <w:rPr>
          <w:rFonts w:asciiTheme="minorHAnsi" w:hAnsiTheme="minorHAnsi" w:cstheme="minorHAnsi"/>
          <w:color w:val="231F20"/>
        </w:rPr>
        <w:t xml:space="preserve">τα λιπάσματα δεν εμπίπτουν στο πεδίο εφαρμογής της υπ’ αρ. 80568/4225/22.3.1991 </w:t>
      </w:r>
      <w:r w:rsidRPr="00687F57">
        <w:rPr>
          <w:rFonts w:asciiTheme="minorHAnsi" w:hAnsiTheme="minorHAnsi" w:cstheme="minorHAnsi"/>
        </w:rPr>
        <w:t>(Β΄ 641) απόφασης,</w:t>
      </w:r>
      <w:r w:rsidRPr="00687F57">
        <w:rPr>
          <w:rFonts w:asciiTheme="minorHAnsi" w:hAnsiTheme="minorHAnsi" w:cstheme="minorHAnsi"/>
          <w:color w:val="231F20"/>
        </w:rPr>
        <w:t xml:space="preserve"> η οποία </w:t>
      </w:r>
      <w:r w:rsidRPr="00687F57">
        <w:rPr>
          <w:rFonts w:asciiTheme="minorHAnsi" w:hAnsiTheme="minorHAnsi" w:cstheme="minorHAnsi"/>
        </w:rPr>
        <w:t xml:space="preserve">ρυθμίζει τη διάθεση της ιλύος που προέρχεται από επεξεργασία οικιακών και αστικών λυμάτων κατευθείαν στη γεωργία και μόνο ως εδαφοβελτιωτικό και β) η υπ΄ αρ. </w:t>
      </w:r>
      <w:r w:rsidRPr="00687F57">
        <w:rPr>
          <w:rFonts w:asciiTheme="minorHAnsi" w:hAnsiTheme="minorHAnsi" w:cstheme="minorHAnsi"/>
          <w:color w:val="231F20"/>
        </w:rPr>
        <w:t xml:space="preserve">114218/31.10.1997 (Β΄ 1016) απόφαση </w:t>
      </w:r>
      <w:r w:rsidRPr="00687F57">
        <w:rPr>
          <w:rFonts w:asciiTheme="minorHAnsi" w:hAnsiTheme="minorHAnsi" w:cstheme="minorHAnsi"/>
        </w:rPr>
        <w:t>έχει καταργηθεί.</w:t>
      </w:r>
      <w:r w:rsidRPr="00687F57">
        <w:rPr>
          <w:rFonts w:asciiTheme="minorHAnsi" w:hAnsiTheme="minorHAnsi" w:cstheme="minorHAnsi"/>
          <w:color w:val="231F20"/>
        </w:rPr>
        <w:t xml:space="preserve"> Επισημαίνεται, τέλος, ότι </w:t>
      </w:r>
      <w:r w:rsidRPr="00687F57">
        <w:rPr>
          <w:rFonts w:asciiTheme="minorHAnsi" w:hAnsiTheme="minorHAnsi" w:cstheme="minorHAnsi"/>
        </w:rPr>
        <w:t xml:space="preserve">οι προϋποθέσεις κυκλοφορίας </w:t>
      </w:r>
      <w:r w:rsidRPr="00687F57">
        <w:rPr>
          <w:rFonts w:asciiTheme="minorHAnsi" w:hAnsiTheme="minorHAnsi" w:cstheme="minorHAnsi"/>
          <w:color w:val="231F20"/>
        </w:rPr>
        <w:t xml:space="preserve">για τους νέους τύπους λιπασμάτων </w:t>
      </w:r>
      <w:r w:rsidRPr="00687F57">
        <w:rPr>
          <w:rFonts w:asciiTheme="minorHAnsi" w:hAnsiTheme="minorHAnsi" w:cstheme="minorHAnsi"/>
        </w:rPr>
        <w:t>είναι  αυστηρότερες από  εκείνες που προβλέπονται στην</w:t>
      </w:r>
      <w:r w:rsidRPr="00687F57">
        <w:rPr>
          <w:rFonts w:asciiTheme="minorHAnsi" w:hAnsiTheme="minorHAnsi" w:cstheme="minorHAnsi"/>
          <w:color w:val="231F20"/>
        </w:rPr>
        <w:t xml:space="preserve"> ανωτέρω υπ΄ αρ. 80568/4225/22.3.1991 απόφαση.  </w:t>
      </w:r>
    </w:p>
    <w:p w:rsidR="0002236B" w:rsidRPr="00687F57" w:rsidRDefault="0002236B" w:rsidP="001A0A64">
      <w:pPr>
        <w:shd w:val="clear" w:color="auto" w:fill="FFFFFF"/>
        <w:spacing w:line="360" w:lineRule="auto"/>
        <w:jc w:val="both"/>
        <w:rPr>
          <w:rFonts w:asciiTheme="minorHAnsi" w:hAnsiTheme="minorHAnsi" w:cstheme="minorHAnsi"/>
          <w:color w:val="000000"/>
        </w:rPr>
      </w:pPr>
      <w:r w:rsidRPr="00687F57">
        <w:rPr>
          <w:rFonts w:asciiTheme="minorHAnsi" w:hAnsiTheme="minorHAnsi" w:cstheme="minorHAnsi"/>
          <w:color w:val="000000"/>
        </w:rPr>
        <w:t>Με την παρ. 2 αντικαθίστανται το άρθρο 7 του ν. 1565/1985, όπως αυτό τροποποιήθηκε με την παρ. 7 του άρθρου 49 του ν. 4235/2014 (Α΄ 32),  προκειμένου να επικαιροποιηθούν οι σχετικές ρυθμίσεις που αφορούν τη σύσταση της τεχνικής γνωμοδοτικής επιτροπής λιπασμάτων (ΤΕ.Γ.Ε.Λ.), σύμφωνα και με τον Κώδικα Διοικητικής Διαδικασίας. Η προτεινόμενη τροποποίηση κρίνεται αναγκαία, διότι από την έναρξη ισχύος του ν. 1565/1985 έχει διαφοροποιηθεί σημαντικά το καθεστώς παραγωγής και εμπορίας λιπασμάτων, δεδομένου ότι το πλαίσιο  κρατικής παρέμβασης στον τομέα των λιπασμάτων έχει αντικατασταθεί από αυτό της ελεύθερης αγοράς. Αντίστοιχα, έχουν διαφοροποιηθεί και οι ανάγκες που αφορούν την πολυμελή σύσταση της ΤΕ.Γ.Ε.Λ. (</w:t>
      </w:r>
      <w:r w:rsidR="00655D1D" w:rsidRPr="00687F57">
        <w:rPr>
          <w:rFonts w:asciiTheme="minorHAnsi" w:hAnsiTheme="minorHAnsi" w:cstheme="minorHAnsi"/>
          <w:color w:val="000000"/>
        </w:rPr>
        <w:t>που είναι σήμερα δεκαπεντα</w:t>
      </w:r>
      <w:r w:rsidRPr="00687F57">
        <w:rPr>
          <w:rFonts w:asciiTheme="minorHAnsi" w:hAnsiTheme="minorHAnsi" w:cstheme="minorHAnsi"/>
          <w:color w:val="000000"/>
        </w:rPr>
        <w:t xml:space="preserve">μελής), διότι προκύπτουν </w:t>
      </w:r>
      <w:r w:rsidRPr="00687F57">
        <w:rPr>
          <w:rFonts w:asciiTheme="minorHAnsi" w:hAnsiTheme="minorHAnsi" w:cstheme="minorHAnsi"/>
        </w:rPr>
        <w:t>επανειλημμένως</w:t>
      </w:r>
      <w:r w:rsidRPr="00687F57">
        <w:rPr>
          <w:rFonts w:asciiTheme="minorHAnsi" w:hAnsiTheme="minorHAnsi" w:cstheme="minorHAnsi"/>
          <w:color w:val="000000"/>
        </w:rPr>
        <w:t xml:space="preserve"> ζητήματα απαρτίας και ως εκ τούτου  προβλήματα λειτουργίας της.  Με την προτεινόμενη διάταξη, η οποία έχει ως στόχο </w:t>
      </w:r>
      <w:r w:rsidRPr="00687F57">
        <w:rPr>
          <w:rFonts w:asciiTheme="minorHAnsi" w:hAnsiTheme="minorHAnsi" w:cstheme="minorHAnsi"/>
          <w:color w:val="000000"/>
        </w:rPr>
        <w:lastRenderedPageBreak/>
        <w:t>την  απλούστευση των διαδικασιών, η ΤΕ.Γ.Ε.Λ. αποκτά ένα περισσότερο ευέλικτο, ολιγομελές και αποτελεσματικό σχήμα.</w:t>
      </w:r>
    </w:p>
    <w:p w:rsidR="0002236B" w:rsidRPr="00687F57" w:rsidRDefault="0002236B" w:rsidP="001A0A64">
      <w:pPr>
        <w:shd w:val="clear" w:color="auto" w:fill="FFFFFF"/>
        <w:spacing w:line="360" w:lineRule="auto"/>
        <w:jc w:val="both"/>
        <w:rPr>
          <w:rFonts w:asciiTheme="minorHAnsi" w:hAnsiTheme="minorHAnsi" w:cstheme="minorHAnsi"/>
          <w:color w:val="000000"/>
        </w:rPr>
      </w:pPr>
      <w:r w:rsidRPr="00687F57">
        <w:rPr>
          <w:rFonts w:asciiTheme="minorHAnsi" w:hAnsiTheme="minorHAnsi" w:cstheme="minorHAnsi"/>
          <w:color w:val="000000"/>
        </w:rPr>
        <w:t>Με την παρ. 3 τροποποιείται η παρ. 8 του άρθρου 11 του ν. 1565/1985, προκειμένου να ρυθμισθούν θέματα που αφορούν την υποχρέωση της αρμόδιας Υπηρεσίας να γνωστοποιεί την απόφασή της επί ένστασης (ενδικοφανούς προσφυγής) κατά απόφασης επιβολής διοικητικού προστίμου της παρ. 7 του άρθρου 11 του ν. 1565/1985 στον ενιστάμενο εντός προθεσμίας  τριάντα ημερών.  Συγκεκριμένα, δεν είναι δυνατή η τήρηση της εν λόγω υποχρέωσης, ιδιαίτερα στις περιπτώσεις ενστάσεων που υποβάλλονται λίγο πριν ή λίγο μετά τη σύγκλ</w:t>
      </w:r>
      <w:r w:rsidR="00655D1D" w:rsidRPr="00687F57">
        <w:rPr>
          <w:rFonts w:asciiTheme="minorHAnsi" w:hAnsiTheme="minorHAnsi" w:cstheme="minorHAnsi"/>
          <w:color w:val="000000"/>
        </w:rPr>
        <w:t>η</w:t>
      </w:r>
      <w:r w:rsidRPr="00687F57">
        <w:rPr>
          <w:rFonts w:asciiTheme="minorHAnsi" w:hAnsiTheme="minorHAnsi" w:cstheme="minorHAnsi"/>
          <w:color w:val="000000"/>
        </w:rPr>
        <w:t>ση της ΤΕ.Γ.Ε.Λ., διότι ενώ η διαδικασία επιβολής κυρώσεων εφαρμόζεται από την αρμόδια Υπηρεσία καθ’ όλη τη διάρκεια του έτους, οι αποφάσεις επί των ενστάσεων εκδίδονται μετά από εισήγηση της ΤΕ.Γ.Ε.Λ., η οποία συνεδριάζει μόνο δύο έως τρεις φορές το χρόνο, καθώς η διαδικασία σύγκλησής της είναι χρονοβόρα (απαιτείται η συγκέντρωση και η αποστολή προς τα μέλη της πλήθους  εγγράφων που αφορούν τις υπό κρίση ενστάσεις). Με την προτεινόμενη διάταξη, η εν λόγω προθεσμία των τριάντα (30) ημερών αντικαθίσταται από αντίστοιχη προθεσμία τεσσάρων (4) μηνών, σύμφωνα με τον Κώδικα Διοικητικής Διαδικασίας.</w:t>
      </w:r>
    </w:p>
    <w:p w:rsidR="0002236B" w:rsidRPr="00687F57" w:rsidRDefault="0002236B" w:rsidP="001A0A64">
      <w:pPr>
        <w:shd w:val="clear" w:color="auto" w:fill="FFFFFF"/>
        <w:spacing w:line="360" w:lineRule="auto"/>
        <w:jc w:val="both"/>
        <w:rPr>
          <w:rFonts w:asciiTheme="minorHAnsi" w:hAnsiTheme="minorHAnsi" w:cstheme="minorHAnsi"/>
          <w:color w:val="000000"/>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4</w:t>
      </w:r>
    </w:p>
    <w:p w:rsidR="0002236B" w:rsidRPr="00687F57" w:rsidRDefault="0002236B" w:rsidP="00687F57">
      <w:pPr>
        <w:spacing w:line="360" w:lineRule="auto"/>
        <w:rPr>
          <w:rFonts w:asciiTheme="minorHAnsi" w:hAnsiTheme="minorHAnsi" w:cstheme="minorHAnsi"/>
          <w:b/>
          <w:lang w:val="en-GB"/>
        </w:rPr>
      </w:pPr>
      <w:r w:rsidRPr="00687F57">
        <w:rPr>
          <w:rFonts w:asciiTheme="minorHAnsi" w:hAnsiTheme="minorHAnsi" w:cstheme="minorHAnsi"/>
          <w:b/>
        </w:rPr>
        <w:t xml:space="preserve">Προστασία αγροτικού φυσικού κεφαλαίου </w:t>
      </w:r>
    </w:p>
    <w:p w:rsidR="0002236B" w:rsidRPr="00687F57" w:rsidRDefault="0002236B" w:rsidP="001A077C">
      <w:pPr>
        <w:spacing w:line="360" w:lineRule="auto"/>
        <w:jc w:val="both"/>
        <w:rPr>
          <w:rFonts w:asciiTheme="minorHAnsi" w:hAnsiTheme="minorHAnsi" w:cstheme="minorHAnsi"/>
        </w:rPr>
      </w:pPr>
      <w:r w:rsidRPr="00687F57">
        <w:rPr>
          <w:rFonts w:asciiTheme="minorHAnsi" w:hAnsiTheme="minorHAnsi" w:cstheme="minorHAnsi"/>
        </w:rPr>
        <w:t>Με την παρ. 1 του προτεινόμενου άρθρου αντικαθίσταται το δεύτερο εδάφιο της περ. β΄ της παρ. 3 του άρθρου 17 του ν. 3937/2011 «Διατήρηση της βιοποικιλότητας και άλλες διατάξεις» (Α΄ 60), με σκοπό μέσα από την προτεινόμενη αναδιατύπωση σχετικά με τις αρμόδιες υπηρεσίες για την εθνική απογραφή βιοποικιλότητας ανά δεκαετία που αποτελεί βασικό εργαλείο διαχείρισης της βιοποικιλότητας, να προβλεφθεί το σύνολο των υπηρεσιών του ΥΠΑΑΤ που είναι συναρμόδιες για το έργο αυτό, σε συνεργασία με τη Γενική Διεύθυνση Περιβαλλοντικής Πολιτικής του Υπουργείου Περιβάλλοντος και Ενέργειας που το αναλαμβάνει.</w:t>
      </w:r>
    </w:p>
    <w:p w:rsidR="0002236B" w:rsidRPr="00687F57" w:rsidRDefault="0002236B" w:rsidP="001A077C">
      <w:pPr>
        <w:spacing w:line="360" w:lineRule="auto"/>
        <w:jc w:val="both"/>
        <w:rPr>
          <w:rFonts w:asciiTheme="minorHAnsi" w:hAnsiTheme="minorHAnsi" w:cstheme="minorHAnsi"/>
        </w:rPr>
      </w:pPr>
      <w:r w:rsidRPr="00687F57">
        <w:rPr>
          <w:rFonts w:asciiTheme="minorHAnsi" w:hAnsiTheme="minorHAnsi" w:cstheme="minorHAnsi"/>
        </w:rPr>
        <w:t xml:space="preserve">Με την παρ. 2 του προτεινόμενου άρθρου προστίθεται εξουσιοδοτική διάταξη, η οποία κρίνεται αναγκαία για την εφαρμογή του άρθρου 9 της Διεθνούς Συνθήκης σχετικά με τους φυτογενετικούς πόρους για τη διατροφή και τη γεωργία, η οποία υιοθετήθηκε στη Ρώμη κατά την 31η Σύνοδο του FAO (Food and Agriculture </w:t>
      </w:r>
      <w:r w:rsidRPr="00687F57">
        <w:rPr>
          <w:rFonts w:asciiTheme="minorHAnsi" w:hAnsiTheme="minorHAnsi" w:cstheme="minorHAnsi"/>
        </w:rPr>
        <w:lastRenderedPageBreak/>
        <w:t>Organization of the United Nations) στις 3 Νοεμβρίου 2001 και κυρώθηκε με το άρθρο πρώτο του ν. 3165/2003 «Κύρωση της Διεθνούς Συνθήκης σχετικά με τους φυτογενετικούς πόρους για τη διατροφή και τη γεωργία» (Α΄ 177) που αφορά τα δικαιώματα των γεωργών όσον αφορά τους φυτογενετικούς πόρους για τη διατροφή και τη γεωργία.</w:t>
      </w:r>
    </w:p>
    <w:p w:rsidR="0002236B" w:rsidRPr="00687F57" w:rsidRDefault="0002236B" w:rsidP="001A0A64">
      <w:pPr>
        <w:spacing w:line="360" w:lineRule="auto"/>
        <w:rPr>
          <w:rFonts w:asciiTheme="minorHAnsi" w:hAnsiTheme="minorHAnsi" w:cstheme="minorHAnsi"/>
          <w:b/>
          <w:color w:val="FF0000"/>
          <w:lang w:val="en-GB"/>
        </w:rPr>
      </w:pPr>
    </w:p>
    <w:p w:rsidR="0002236B" w:rsidRPr="00687F57" w:rsidRDefault="0002236B" w:rsidP="001A0A64">
      <w:pPr>
        <w:spacing w:line="360" w:lineRule="auto"/>
        <w:rPr>
          <w:rFonts w:asciiTheme="minorHAnsi" w:hAnsiTheme="minorHAnsi" w:cstheme="minorHAnsi"/>
          <w:b/>
        </w:rPr>
      </w:pPr>
      <w:r w:rsidRPr="00687F57">
        <w:rPr>
          <w:rFonts w:asciiTheme="minorHAnsi" w:hAnsiTheme="minorHAnsi" w:cstheme="minorHAnsi"/>
          <w:b/>
        </w:rPr>
        <w:t>ΚΕΦΑΛΑΙΟ Β΄</w:t>
      </w:r>
    </w:p>
    <w:p w:rsidR="0002236B" w:rsidRPr="00687F57" w:rsidRDefault="0002236B" w:rsidP="001A0A64">
      <w:pPr>
        <w:spacing w:line="360" w:lineRule="auto"/>
        <w:rPr>
          <w:rFonts w:asciiTheme="minorHAnsi" w:hAnsiTheme="minorHAnsi" w:cstheme="minorHAnsi"/>
          <w:b/>
        </w:rPr>
      </w:pPr>
      <w:r w:rsidRPr="00687F57">
        <w:rPr>
          <w:rFonts w:asciiTheme="minorHAnsi" w:hAnsiTheme="minorHAnsi" w:cstheme="minorHAnsi"/>
          <w:b/>
        </w:rPr>
        <w:t>ΡΥΘΜΙΣΕΙΣ ΘΕΜΑΤΩΝ ΓΕΩΡΓΙΑΣ - ΚΤΗΝΟΤΡΟΦΙΑΣ</w:t>
      </w:r>
    </w:p>
    <w:p w:rsidR="0002236B" w:rsidRPr="00687F57" w:rsidRDefault="0002236B" w:rsidP="001A0A64">
      <w:pPr>
        <w:spacing w:line="360" w:lineRule="auto"/>
        <w:rPr>
          <w:rFonts w:asciiTheme="minorHAnsi" w:hAnsiTheme="minorHAnsi" w:cstheme="minorHAnsi"/>
          <w:b/>
          <w:color w:val="FF0000"/>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5</w:t>
      </w:r>
    </w:p>
    <w:p w:rsidR="0002236B" w:rsidRPr="00687F57" w:rsidRDefault="0002236B" w:rsidP="00687F57">
      <w:pPr>
        <w:autoSpaceDE w:val="0"/>
        <w:autoSpaceDN w:val="0"/>
        <w:adjustRightInd w:val="0"/>
        <w:spacing w:line="360" w:lineRule="auto"/>
        <w:rPr>
          <w:rFonts w:asciiTheme="minorHAnsi" w:hAnsiTheme="minorHAnsi" w:cstheme="minorHAnsi"/>
          <w:b/>
          <w:bCs/>
          <w:color w:val="000000"/>
          <w:lang w:val="en-GB"/>
        </w:rPr>
      </w:pPr>
      <w:r w:rsidRPr="00687F57">
        <w:rPr>
          <w:rFonts w:asciiTheme="minorHAnsi" w:hAnsiTheme="minorHAnsi" w:cstheme="minorHAnsi"/>
          <w:b/>
          <w:bCs/>
          <w:color w:val="000000"/>
        </w:rPr>
        <w:t xml:space="preserve">Πολλαπλασιαστικό υλικό </w:t>
      </w:r>
    </w:p>
    <w:p w:rsidR="0002236B" w:rsidRPr="00687F57" w:rsidRDefault="0002236B" w:rsidP="002935EE">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Κατά την εφαρμογή του άρθρου 2α του ν. 4139/2013, καθώς και της αριθμ. 51483/700/Φ.15/2018 κοινής υπουργικής απόφασης (Β΄ 1692), η οποία εκδόθηκε κατ’ εξουσιοδότησή του, προέκυψαν  ορισμένα προβλήματα. Ειδικότερα:</w:t>
      </w:r>
    </w:p>
    <w:p w:rsidR="0002236B" w:rsidRPr="00687F57" w:rsidRDefault="0002236B" w:rsidP="000C41B4">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Με την εξουσιοδοτική διάταξη της παρ. 4 του άρθρου 2α του ν. 4139/2013 χορηγείται εξουσιοδότηση στους αρμόδιους Υπουργούς να ρυθμίσουν μεταξύ άλλων τον τρόπο έγκρισης εισαγωγής μόνο σπόρων προς σπορά, αντί να γίνεται αναφορά στο πολλαπλασιαστικό υλικό των ποικιλιών κάνναβης του είδους Cannabis Sativa L περιεκτικότητας σε τετραϋδροκανναβινόλη (THC) άνω του 0,2% για ιατρικούς σκοπούς, όπως γίνεται στην παρ. 7 του ίδιου άρθρου. Επιπλέον, στις παρ. 4 και 7 του ίδιου άρθρου αναφέρεται ο όρος «εισαγωγή» με αποτέλεσμα να δημιουργείται ασάφεια σχετικά με το αν το πολλαπλασιαστικό υλικό μπορεί να αποκτηθεί και από κράτη μέλη της Ευρωπαϊκής Ένωσης, καθώς ο όρος «εισαγωγή» χρησιμοποιείται συνήθως για να δηλώσει την απόκτηση μόνο από τρίτες χώρες και όχι από  κράτη μέλη της Ευρωπαϊκής Ένωσης (Ε.Ε.).</w:t>
      </w:r>
    </w:p>
    <w:p w:rsidR="0002236B" w:rsidRPr="00687F57" w:rsidRDefault="0002236B" w:rsidP="000C41B4">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Προκειμένου, λοιπόν, να διευκολυνθεί η εύρυθμη λειτουργία των επενδυτικών μονάδων καλλιέργειας ποικιλιών φαρμακευτικής κάνναβης, το έργο των αρμόδιων ελεγκτικών αρχών και η οριζόντια εφαρμογή του θεσμικού πλαισίου, με τις διατάξεις των περ. α</w:t>
      </w:r>
      <w:r w:rsidR="00D461D1" w:rsidRPr="00687F57">
        <w:rPr>
          <w:rFonts w:asciiTheme="minorHAnsi" w:hAnsiTheme="minorHAnsi" w:cstheme="minorHAnsi"/>
        </w:rPr>
        <w:t>)</w:t>
      </w:r>
      <w:r w:rsidRPr="00687F57">
        <w:rPr>
          <w:rFonts w:asciiTheme="minorHAnsi" w:hAnsiTheme="minorHAnsi" w:cstheme="minorHAnsi"/>
        </w:rPr>
        <w:t xml:space="preserve"> και β</w:t>
      </w:r>
      <w:r w:rsidR="00D461D1" w:rsidRPr="00687F57">
        <w:rPr>
          <w:rFonts w:asciiTheme="minorHAnsi" w:hAnsiTheme="minorHAnsi" w:cstheme="minorHAnsi"/>
        </w:rPr>
        <w:t>)</w:t>
      </w:r>
      <w:r w:rsidRPr="00687F57">
        <w:rPr>
          <w:rFonts w:asciiTheme="minorHAnsi" w:hAnsiTheme="minorHAnsi" w:cstheme="minorHAnsi"/>
        </w:rPr>
        <w:t xml:space="preserve"> του προτεινόμενου άρθρου  διευκρινίζεται ότι:</w:t>
      </w:r>
    </w:p>
    <w:p w:rsidR="0002236B" w:rsidRPr="00687F57" w:rsidRDefault="0002236B" w:rsidP="000C41B4">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 xml:space="preserve">α) ο όρος «εισαγωγή» αφορά τόσο την απόκτηση του πολλαπλασιαστικού υλικού από τρίτες χώρες όσο και από κράτη μέλη της ΕΕ και επομένως προβλέπεται η δυνατότητα της ενδοκοινοτικής απόκτησης πολλαπλασιαστικού υλικού ποικιλιών </w:t>
      </w:r>
      <w:r w:rsidRPr="00687F57">
        <w:rPr>
          <w:rFonts w:asciiTheme="minorHAnsi" w:hAnsiTheme="minorHAnsi" w:cstheme="minorHAnsi"/>
        </w:rPr>
        <w:lastRenderedPageBreak/>
        <w:t xml:space="preserve">φαρμακευτικής κάνναβης, λαμβάνοντας υπόψη σχετικά αιτήματα επενδυτικών μονάδων,  </w:t>
      </w:r>
    </w:p>
    <w:p w:rsidR="0002236B" w:rsidRPr="00687F57" w:rsidRDefault="0002236B" w:rsidP="000C41B4">
      <w:pPr>
        <w:autoSpaceDE w:val="0"/>
        <w:autoSpaceDN w:val="0"/>
        <w:adjustRightInd w:val="0"/>
        <w:spacing w:line="360" w:lineRule="auto"/>
        <w:jc w:val="both"/>
        <w:rPr>
          <w:rFonts w:asciiTheme="minorHAnsi" w:hAnsiTheme="minorHAnsi" w:cstheme="minorHAnsi"/>
          <w:color w:val="000000"/>
        </w:rPr>
      </w:pPr>
      <w:r w:rsidRPr="00687F57">
        <w:rPr>
          <w:rFonts w:asciiTheme="minorHAnsi" w:hAnsiTheme="minorHAnsi" w:cstheme="minorHAnsi"/>
        </w:rPr>
        <w:t xml:space="preserve">β) η έγκριση εισαγωγής αφορά όλους τους τύπους πολλαπλασιαστικού υλικού των ποικιλιών κάνναβης του είδους Cannabis Sativa L L περιεκτικότητας σε τετραϋδροκανναβινόλη (THC) άνω του 0,2% για ιατρικούς σκοπούς (σπόρους προς σπορά, φυτάρια, μοσχεύματα, φυτάρια ιστοκαλλιέργειας), με την </w:t>
      </w:r>
      <w:r w:rsidRPr="00687F57">
        <w:rPr>
          <w:rFonts w:asciiTheme="minorHAnsi" w:hAnsiTheme="minorHAnsi" w:cstheme="minorHAnsi"/>
          <w:color w:val="000000"/>
        </w:rPr>
        <w:t>υιοθέτηση</w:t>
      </w:r>
      <w:r w:rsidRPr="00687F57">
        <w:rPr>
          <w:rFonts w:asciiTheme="minorHAnsi" w:hAnsiTheme="minorHAnsi" w:cstheme="minorHAnsi"/>
          <w:color w:val="000000"/>
          <w:lang w:val="en-US"/>
        </w:rPr>
        <w:t> </w:t>
      </w:r>
      <w:r w:rsidRPr="00687F57">
        <w:rPr>
          <w:rFonts w:asciiTheme="minorHAnsi" w:hAnsiTheme="minorHAnsi" w:cstheme="minorHAnsi"/>
          <w:color w:val="000000"/>
        </w:rPr>
        <w:t xml:space="preserve"> του γενικότερου όρου «πολλαπλασιαστικό υλικό».</w:t>
      </w:r>
    </w:p>
    <w:p w:rsidR="0002236B" w:rsidRPr="00687F57" w:rsidRDefault="0002236B" w:rsidP="000C41B4">
      <w:pPr>
        <w:autoSpaceDE w:val="0"/>
        <w:autoSpaceDN w:val="0"/>
        <w:adjustRightInd w:val="0"/>
        <w:spacing w:line="360" w:lineRule="auto"/>
        <w:jc w:val="both"/>
        <w:rPr>
          <w:rFonts w:asciiTheme="minorHAnsi" w:hAnsiTheme="minorHAnsi" w:cstheme="minorHAnsi"/>
          <w:color w:val="000000"/>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6</w:t>
      </w:r>
    </w:p>
    <w:p w:rsidR="0002236B" w:rsidRPr="00687F57" w:rsidRDefault="0002236B" w:rsidP="00687F57">
      <w:pPr>
        <w:autoSpaceDE w:val="0"/>
        <w:autoSpaceDN w:val="0"/>
        <w:adjustRightInd w:val="0"/>
        <w:spacing w:line="360" w:lineRule="auto"/>
        <w:rPr>
          <w:rFonts w:asciiTheme="minorHAnsi" w:hAnsiTheme="minorHAnsi" w:cstheme="minorHAnsi"/>
          <w:b/>
          <w:lang w:val="en-GB"/>
        </w:rPr>
      </w:pPr>
      <w:r w:rsidRPr="00687F57">
        <w:rPr>
          <w:rFonts w:asciiTheme="minorHAnsi" w:hAnsiTheme="minorHAnsi" w:cstheme="minorHAnsi"/>
          <w:b/>
        </w:rPr>
        <w:t xml:space="preserve">Εισαγωγές και εξαγωγές φυτικών προϊόντων </w:t>
      </w:r>
    </w:p>
    <w:p w:rsidR="0002236B" w:rsidRPr="00687F57" w:rsidRDefault="0002236B" w:rsidP="00B47BC3">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Με την προτεινόμενη διάταξη προστίθεται παρ. 10 στο άρθρο 13 του ν. 4036/2012</w:t>
      </w:r>
      <w:r w:rsidR="00D461D1" w:rsidRPr="00687F57">
        <w:rPr>
          <w:rFonts w:asciiTheme="minorHAnsi" w:hAnsiTheme="minorHAnsi" w:cstheme="minorHAnsi"/>
        </w:rPr>
        <w:t>,</w:t>
      </w:r>
      <w:r w:rsidRPr="00687F57">
        <w:rPr>
          <w:rFonts w:asciiTheme="minorHAnsi" w:hAnsiTheme="minorHAnsi" w:cstheme="minorHAnsi"/>
        </w:rPr>
        <w:t xml:space="preserve"> με σκοπό να διευκρινισθεί ότι στην παρ. 1 του ίδιου άρθρου 13 ως εισαγωγή ή εξαγωγή φυτικών προϊόντων ή προϊόντων πρώτης μεταποίησης που φέρουν υπολείμματα φυτοπροστατευτικών προϊόντων υψηλότερα από τα ανώτατα επιτρεπτά όρια, όπως αυτά ορίζονται στον Κανονισμό (ΕΚ) αριθ. 396/2005 του Ευρωπαϊκού Κοινοβουλίου και του Συμβουλίου (ΕΕ L 070 της 16-3-2005, σελ. 1), νοείται τόσο η εισαγωγή ή εξαγωγή από ή προς άλλα κράτη μέλη της ΕΕ (ενδοκοινοτική απόκτηση), όσο και αυτή από ή προς τρίτες χώρες εκτός ΕΕ. Η ίδια διευκρίνιση ως προς την έννοια της εισαγωγής ή εξαγωγής φυτικών προϊόντων ισχύει και για την παρ. 1 του άρθρου 14 του ν. 4036/2012.</w:t>
      </w:r>
    </w:p>
    <w:p w:rsidR="0002236B" w:rsidRPr="00687F57" w:rsidRDefault="0002236B" w:rsidP="00B47BC3">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Η εν λόγω διάταξη κρίνεται αναγκαία για την άρση ερμηνευτικών ζητημάτων που προέκυψαν κατά την εφαρμογή των άρθρων 13 και 14 του ν. 4036/2012.</w:t>
      </w:r>
    </w:p>
    <w:p w:rsidR="0002236B" w:rsidRPr="00687F57" w:rsidRDefault="0002236B" w:rsidP="00131B7B">
      <w:pPr>
        <w:autoSpaceDE w:val="0"/>
        <w:autoSpaceDN w:val="0"/>
        <w:adjustRightInd w:val="0"/>
        <w:spacing w:line="360" w:lineRule="auto"/>
        <w:rPr>
          <w:rFonts w:asciiTheme="minorHAnsi" w:hAnsiTheme="minorHAnsi" w:cstheme="minorHAnsi"/>
          <w:b/>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7</w:t>
      </w:r>
    </w:p>
    <w:p w:rsidR="0002236B" w:rsidRPr="00687F57" w:rsidRDefault="0002236B" w:rsidP="00687F57">
      <w:pPr>
        <w:autoSpaceDE w:val="0"/>
        <w:autoSpaceDN w:val="0"/>
        <w:adjustRightInd w:val="0"/>
        <w:spacing w:line="360" w:lineRule="auto"/>
        <w:rPr>
          <w:rFonts w:asciiTheme="minorHAnsi" w:hAnsiTheme="minorHAnsi" w:cstheme="minorHAnsi"/>
          <w:b/>
          <w:lang w:val="en-GB"/>
        </w:rPr>
      </w:pPr>
      <w:r w:rsidRPr="00687F57">
        <w:rPr>
          <w:rFonts w:asciiTheme="minorHAnsi" w:hAnsiTheme="minorHAnsi" w:cstheme="minorHAnsi"/>
          <w:b/>
        </w:rPr>
        <w:t>Καλλιέργεια βιομηχανικής κάνναβης</w:t>
      </w:r>
    </w:p>
    <w:p w:rsidR="0002236B" w:rsidRPr="00687F57" w:rsidRDefault="0002236B" w:rsidP="00A56A40">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 xml:space="preserve">Με τις ισχύουσες διατάξεις όταν κατά τον έλεγχο διαπιστώνεται ότι η περιεκτικότητα της καλλιέργειας και των ακατέργαστων προϊόντων της σε τετραϋδροκανναβινόλη (THC) υπερβαίνει το όριο του 0,2%, αλλά δεν επεκτείνεται πέραν του ορίου του 0,6%, ποινική δίωξη ασκείται μόνο ύστερα από αίτηση του Προϊσταμένου της Αρχής που διεξήγαγε τον έλεγχο προς τον κατά τόπο αρμόδιο Εισαγγελέα Πρωτοδικών. Στην αίτηση πρέπει να αιτιολογείται ειδικά και εμπεριστατωμένα ότι: α) η υπέρβαση του νόμιμου ορίου σε τετραϋδροκανναβινόλη </w:t>
      </w:r>
      <w:r w:rsidRPr="00687F57">
        <w:rPr>
          <w:rFonts w:asciiTheme="minorHAnsi" w:hAnsiTheme="minorHAnsi" w:cstheme="minorHAnsi"/>
        </w:rPr>
        <w:lastRenderedPageBreak/>
        <w:t xml:space="preserve">δεν οφείλεται στις ειδικές περιβαλλοντικές συνθήκες ή άλλους παράγοντες που ήταν άγνωστοι στον παραγωγό και β) ότι η συγκομιδή είναι πρόσφορη να οδηγήσει στην παραγωγή ουσίας που προκαλεί ψυχική ή σωματική εξάρτηση. </w:t>
      </w:r>
    </w:p>
    <w:p w:rsidR="0002236B" w:rsidRPr="00687F57" w:rsidRDefault="0002236B" w:rsidP="00A56A40">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 xml:space="preserve">Η εν λόγω διάταξη </w:t>
      </w:r>
      <w:r w:rsidR="00D461D1" w:rsidRPr="00687F57">
        <w:rPr>
          <w:rFonts w:asciiTheme="minorHAnsi" w:hAnsiTheme="minorHAnsi" w:cstheme="minorHAnsi"/>
        </w:rPr>
        <w:t xml:space="preserve">προκάλεσε </w:t>
      </w:r>
      <w:r w:rsidRPr="00687F57">
        <w:rPr>
          <w:rFonts w:asciiTheme="minorHAnsi" w:hAnsiTheme="minorHAnsi" w:cstheme="minorHAnsi"/>
        </w:rPr>
        <w:t>πολλά προβλήματα κατά την εφαρμογή της για τους παρακάτω λόγους:</w:t>
      </w:r>
    </w:p>
    <w:p w:rsidR="0002236B" w:rsidRPr="00687F57" w:rsidRDefault="0002236B" w:rsidP="00A56A40">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 xml:space="preserve">α) Οι Προϊστάμενοι των Τμημάτων Αγροτικής Ανάπτυξης και Ελέγχων (ΤΑΑΕ) του ΥΠΑΑΤ που έχουν την αρμοδιότητα του ελέγχου δεν μπορούν να αιτιολογήσουν εμπεριστατωμένα, με αντικειμενικά κριτήρια, την αποκλειστική ευθύνη του καλλιεργητή κάνναβης για την υπέρβαση του ορίου συγκέντρωσης της τετραϋδροκανναβινόλης, στα ακατέργαστα προϊόντα καλλιεργειών κάνναβης. </w:t>
      </w:r>
    </w:p>
    <w:p w:rsidR="0002236B" w:rsidRPr="00687F57" w:rsidRDefault="0002236B" w:rsidP="00A56A40">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 xml:space="preserve">β) Η δυνατότητα παραγωγής από αυτά τα προϊόντα, ουσιών που προκαλούν ψυχική ή σωματική εξάρτηση, αφορά την ιατρική επιστήμη και δεν μπορεί να κριθεί από τον </w:t>
      </w:r>
      <w:r w:rsidR="00D461D1" w:rsidRPr="00687F57">
        <w:rPr>
          <w:rFonts w:asciiTheme="minorHAnsi" w:hAnsiTheme="minorHAnsi" w:cstheme="minorHAnsi"/>
        </w:rPr>
        <w:t xml:space="preserve">οικείο </w:t>
      </w:r>
      <w:r w:rsidRPr="00687F57">
        <w:rPr>
          <w:rFonts w:asciiTheme="minorHAnsi" w:hAnsiTheme="minorHAnsi" w:cstheme="minorHAnsi"/>
        </w:rPr>
        <w:t xml:space="preserve">Προϊστάμενο του ΤΑΑΕ. </w:t>
      </w:r>
    </w:p>
    <w:p w:rsidR="0002236B" w:rsidRPr="00687F57" w:rsidRDefault="0002236B" w:rsidP="00A56A40">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γ) Με την ισχύουσα ατελή ρύθμιση δημιουργούνται θέματα υποκειμενικότητας και αδιαφάνειας και δεν είναι σαφές εάν καταστρέφεται η καλλιέργεια κάνναβης στην περίπτωση που υπάρχει υπέρβαση του νόμιμου ορίου σε THC (0,2%) ή τα ακατέργαστα προϊόντα που προέρχονται από την εν λόγω καλλιέργεια μπορούν να διακινηθούν νόμιμα.</w:t>
      </w:r>
    </w:p>
    <w:p w:rsidR="0002236B" w:rsidRPr="00687F57" w:rsidRDefault="0002236B" w:rsidP="00A56A40">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Οι ανωτέρω ατέλειες καλύπτονται με την προτεινόμενη διάταξη.</w:t>
      </w:r>
    </w:p>
    <w:p w:rsidR="0002236B" w:rsidRPr="00687F57" w:rsidRDefault="0002236B" w:rsidP="002E11B7">
      <w:pPr>
        <w:autoSpaceDE w:val="0"/>
        <w:autoSpaceDN w:val="0"/>
        <w:adjustRightInd w:val="0"/>
        <w:spacing w:line="360" w:lineRule="auto"/>
        <w:rPr>
          <w:rFonts w:asciiTheme="minorHAnsi" w:hAnsiTheme="minorHAnsi" w:cstheme="minorHAnsi"/>
          <w:b/>
          <w:lang w:val="en-GB"/>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8</w:t>
      </w:r>
    </w:p>
    <w:p w:rsidR="0002236B" w:rsidRPr="00687F57" w:rsidRDefault="0002236B" w:rsidP="00687F57">
      <w:pPr>
        <w:autoSpaceDE w:val="0"/>
        <w:autoSpaceDN w:val="0"/>
        <w:adjustRightInd w:val="0"/>
        <w:spacing w:line="360" w:lineRule="auto"/>
        <w:rPr>
          <w:rFonts w:asciiTheme="minorHAnsi" w:hAnsiTheme="minorHAnsi" w:cstheme="minorHAnsi"/>
          <w:b/>
          <w:lang w:val="en-GB"/>
        </w:rPr>
      </w:pPr>
      <w:r w:rsidRPr="00687F57">
        <w:rPr>
          <w:rFonts w:asciiTheme="minorHAnsi" w:hAnsiTheme="minorHAnsi" w:cstheme="minorHAnsi"/>
          <w:b/>
        </w:rPr>
        <w:t>Κτηνοτροφικές εγκαταστάσεις</w:t>
      </w:r>
    </w:p>
    <w:p w:rsidR="0002236B" w:rsidRPr="00687F57" w:rsidRDefault="0002236B" w:rsidP="002935EE">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Με την περ. α΄ του προτεινόμενου άρθρου αντικαθίσταται η παρ. 3 του άρθρου 17</w:t>
      </w:r>
      <w:r w:rsidR="00CF4FA2" w:rsidRPr="00687F57">
        <w:rPr>
          <w:rFonts w:asciiTheme="minorHAnsi" w:hAnsiTheme="minorHAnsi" w:cstheme="minorHAnsi"/>
          <w:vertAlign w:val="superscript"/>
        </w:rPr>
        <w:t>α</w:t>
      </w:r>
      <w:r w:rsidR="00D461D1" w:rsidRPr="00687F57">
        <w:rPr>
          <w:rFonts w:asciiTheme="minorHAnsi" w:hAnsiTheme="minorHAnsi" w:cstheme="minorHAnsi"/>
        </w:rPr>
        <w:t xml:space="preserve"> του ν. 4056/2012</w:t>
      </w:r>
      <w:r w:rsidRPr="00687F57">
        <w:rPr>
          <w:rFonts w:asciiTheme="minorHAnsi" w:hAnsiTheme="minorHAnsi" w:cstheme="minorHAnsi"/>
        </w:rPr>
        <w:t xml:space="preserve">, όπως το άρθρο αυτό προστέθηκε με την παρ. 1 του άρθρου 12 του ν. 4351/2015 (Α΄ 164) και η παράγραφος αυτή αντικαταστάθηκε με την παρ. 1 του άρθρου 15 του ν. 4587/2018 (Α΄ 218), προκειμένου να παραταθεί η προθεσμία υποβολής των αιτήσεων για τη νοµιµοποίηση των υφιστάµενων κατά την έναρξη ισχύος του ν. 4056/2012 κτηνοτροφικών εγκαταστάσεων που βρίσκονται εντός ή πλησίον κατοικηµένων περιοχών μέχρι την 30η Απριλίου 2020. Ειδικότερα, με την παράγραφο 3 του άρθρου 17α του ν. 4056/2012, που προστέθηκε με το άρθρο 12 του ν. 4351/2015, προβλεπόταν διετής, από την έναρξη ισχύος του ως άνω νόμου, προθεσμία υποβολής των συγκεκριμένων αιτήσεων. Με την υπ’ αριθμ. </w:t>
      </w:r>
      <w:r w:rsidRPr="00687F57">
        <w:rPr>
          <w:rFonts w:asciiTheme="minorHAnsi" w:hAnsiTheme="minorHAnsi" w:cstheme="minorHAnsi"/>
        </w:rPr>
        <w:lastRenderedPageBreak/>
        <w:t>940/81279/26.7.2017 (Β΄ 2741) ΚΥΑ, που εκδόθηκε κατ’ εξουσιοδότηση της παρ. 5 του άρθρου 17α του ν. 4056/2012, η προθεσμία υποβολής αιτήσεων έληξε την 4.12.2017. Λαμβάνοντας υπόψη, όμως,  ότι αφενός η ως άνω ΚΥΑ  δημοσιεύτηκε και ισχύει από τις 4.8.2017 και ότι σχετική διευκρινιστική εγκύκλιος (ΑΔΑ:ΩΞΘ54653ΠΓ-ΞΤΜ) εκδόθηκε μόλις στις 17.11.2017, και αφετέρου την ανάγκη αντιμετώπισης του προβλήματος των εγκαταστάσεων, με το άρθρο 15 του ν. 4587/2018 (Α΄ 218) παρατάθηκε η προθεσμία υποβολής των αιτήσεων έως τις 30.06.2019. Με την προτεινόμενη διάταξη παρατείνεται η προθεσμία υποβολής των ανωτέρω αιτήσεων έως και τις 31.12.2020, προκειμένου να δοθεί το αναγκαίο χρονικό διάστημα για να ολοκληρωθεί η διαδικασία έκδοσης της άδειας διατήρησης και να διευκολυνθούν οι κάτοχοι των κτηνοτροφικών εγκαταστάσεων να συγκεντρώσουν το σύνολο των δικαιολογητικών που απαιτούνται για την έκδοση της άδειας διατήρησης των σταυλικών τους εγκαταστάσεων, δεδομένου ότι για την έκδοση ορισμένων από τα εν λόγω δικαιολογητικά απαιτούνται χρονοβόρες διαδικασίες. Επιπλέον, προβλέπεται ότι μέχρι τη λήξη της προθεσμίας που οι ενδιαφερόμενοι έχουν για την κατάθεση αίτησης για τη διατήρηση των κτηνοτροφικών τους εγκαταστάσεων, δηλαδή μέχρι 31.12.2020, αναστέλλεται η ισχύς των διοικητικών πράξεων με τις οποίες διατάχθηκε διακοπή λειτουργίας, αποβολή, κατεδάφιση ή επιβολή προστίμου και έχουν εκδοθεί αλλά δεν έχουν εκτελεστεί, ανακαλούνται δε οριστικά εφόσον εκδοθεί η άδεια διατήρησης της παραγράφου 2 του άρθρου 17α του ν. 4056/2012. Η διάταξη αυτή δεν εφαρμόζεται σε περίπτωση που  οι  υπόψη διοικητικές πράξεις έχουν εκτελεστεί. Τέλος, με την περ. β΄, διευκρινίζεται ότι η παράταση της ως άνω προθεσμίας, καταλαμβάνει και το</w:t>
      </w:r>
      <w:r w:rsidR="00D461D1" w:rsidRPr="00687F57">
        <w:rPr>
          <w:rFonts w:asciiTheme="minorHAnsi" w:hAnsiTheme="minorHAnsi" w:cstheme="minorHAnsi"/>
        </w:rPr>
        <w:t>ν</w:t>
      </w:r>
      <w:r w:rsidRPr="00687F57">
        <w:rPr>
          <w:rFonts w:asciiTheme="minorHAnsi" w:hAnsiTheme="minorHAnsi" w:cstheme="minorHAnsi"/>
        </w:rPr>
        <w:t xml:space="preserve"> χρόνο από τη λήξη της προϊσχύσασας προθεσμίας, ήτοι από τ</w:t>
      </w:r>
      <w:r w:rsidR="00D461D1" w:rsidRPr="00687F57">
        <w:rPr>
          <w:rFonts w:asciiTheme="minorHAnsi" w:hAnsiTheme="minorHAnsi" w:cstheme="minorHAnsi"/>
        </w:rPr>
        <w:t>ις</w:t>
      </w:r>
      <w:r w:rsidRPr="00687F57">
        <w:rPr>
          <w:rFonts w:asciiTheme="minorHAnsi" w:hAnsiTheme="minorHAnsi" w:cstheme="minorHAnsi"/>
        </w:rPr>
        <w:t xml:space="preserve"> 30.6.2019, κατά τα ανωτέρω εκτεθέντα.</w:t>
      </w:r>
    </w:p>
    <w:p w:rsidR="0002236B" w:rsidRPr="00687F57" w:rsidRDefault="0002236B" w:rsidP="00B33500">
      <w:pPr>
        <w:autoSpaceDE w:val="0"/>
        <w:autoSpaceDN w:val="0"/>
        <w:adjustRightInd w:val="0"/>
        <w:spacing w:before="120" w:after="120" w:line="360" w:lineRule="auto"/>
        <w:ind w:right="-154"/>
        <w:rPr>
          <w:rFonts w:asciiTheme="minorHAnsi" w:hAnsiTheme="minorHAnsi" w:cstheme="minorHAnsi"/>
          <w:b/>
          <w:bCs/>
          <w:color w:val="000000"/>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9</w:t>
      </w:r>
    </w:p>
    <w:p w:rsidR="0002236B" w:rsidRPr="00687F57" w:rsidRDefault="0002236B" w:rsidP="00687F57">
      <w:pPr>
        <w:autoSpaceDE w:val="0"/>
        <w:autoSpaceDN w:val="0"/>
        <w:adjustRightInd w:val="0"/>
        <w:spacing w:line="360" w:lineRule="auto"/>
        <w:rPr>
          <w:rFonts w:asciiTheme="minorHAnsi" w:hAnsiTheme="minorHAnsi" w:cstheme="minorHAnsi"/>
          <w:b/>
          <w:bCs/>
          <w:color w:val="000000"/>
          <w:lang w:val="en-GB"/>
        </w:rPr>
      </w:pPr>
      <w:r w:rsidRPr="00687F57">
        <w:rPr>
          <w:rFonts w:asciiTheme="minorHAnsi" w:hAnsiTheme="minorHAnsi" w:cstheme="minorHAnsi"/>
          <w:b/>
          <w:bCs/>
          <w:color w:val="000000"/>
        </w:rPr>
        <w:t>Εθνικό ηλεκτρονικό μελισσοκομικό μητρώο - Ατομική μελισσοκομική ταυτότητα</w:t>
      </w:r>
    </w:p>
    <w:p w:rsidR="0002236B" w:rsidRPr="00687F57" w:rsidRDefault="0002236B" w:rsidP="0062075E">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 xml:space="preserve">Με το προτεινόμενο άρθρο επιδιώκεται η καθιέρωση ενιαίου συστήματος καταγραφής, απογραφής και ταυτοποίησης όλων των μελισσοκόμων και του μελισσοκομικού κεφαλαίου της χώρας μέσω της ανάπτυξης και λειτουργίας </w:t>
      </w:r>
      <w:r w:rsidRPr="00687F57">
        <w:rPr>
          <w:rFonts w:asciiTheme="minorHAnsi" w:hAnsiTheme="minorHAnsi" w:cstheme="minorHAnsi"/>
        </w:rPr>
        <w:lastRenderedPageBreak/>
        <w:t xml:space="preserve">πληροφοριακής βάσης δεδομένων με την ονομασία «Εθνικό ηλεκτρονικό μελισσοκομικό μητρώο» και την καθιέρωση ατομικής μελισσοκομικής ταυτότητας που θα αντικαταστήσουν τις υφιστάμενες έντυπες μορφές του μελισσοκομικού μητρώου και του μελισσοκομικού βιβλιαρίου. Ειδικότερα: </w:t>
      </w:r>
    </w:p>
    <w:p w:rsidR="0002236B" w:rsidRPr="00687F57" w:rsidRDefault="0002236B" w:rsidP="0062075E">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 xml:space="preserve">Με την περ. α΄ της παρ. 1 αναπτύσσεται και λειτουργεί στο ΥΠΑΑΤ πληροφοριακή βάση δεδομένων με την ονομασία «Εθνικό ηλεκτρονικό μελισσοκομικό μητρώο». Με την ανάπτυξη και λειτουργία του εθνικού ηλεκτρονικού μελισσοκομικού μητρώου και την ψηφιακή καταγραφή και παρακολούθηση όλων των μελισσοκόμων και των μελισσιών της χώρας αντιμετωπίζονται σημαντικά θέματα που </w:t>
      </w:r>
      <w:r w:rsidR="00AE39D4" w:rsidRPr="00687F57">
        <w:rPr>
          <w:rFonts w:asciiTheme="minorHAnsi" w:hAnsiTheme="minorHAnsi" w:cstheme="minorHAnsi"/>
        </w:rPr>
        <w:t xml:space="preserve">προκαλούν </w:t>
      </w:r>
      <w:r w:rsidRPr="00687F57">
        <w:rPr>
          <w:rFonts w:asciiTheme="minorHAnsi" w:hAnsiTheme="minorHAnsi" w:cstheme="minorHAnsi"/>
        </w:rPr>
        <w:t xml:space="preserve">προβλήματα στον κλάδο της μελισσοκομίας, τα οποία μέχρι σήμερα προσεγγίζονται αποσπασματικά και με μη ενιαίο τρόπο σε όλη τη χώρα. Τα σημαντικότερα από αυτά είναι τα εξής: α) η καταγραφή κρουσμάτων προσβολής από ασθένειες και εχθρούς των μελισσών με σκοπό την πρόληψη και αποτελεσματική αντιμετώπισή τους, β) ο περιορισμός και η αντιμετώπιση κρουσμάτων κλοπής, γ) η παρακολούθηση της αγοράς του μελιού και όλων των μελισσοκομικών προϊόντων, δ) η εποπτεία των εισαγωγών μελιού και μελισσοκομικών προϊόντων, ε) η χαρτογράφηση και καταγραφή της παραγωγικότητας των μελισσοβοσκών της χώρας και ο εμπλουτισμός και η προστασία της μελισσοκομικής χλωρίδας, στ) ο προγραμματισμός των μετακινήσεων των μελισσιών των μελισσοκόμων που ασκούν νομαδική μελισσοκομία, ζ) η παρακολούθηση της εμπορίας και της εγχώριας διακίνησης του μελισσοκομικού κεφαλαίου και του μελισσοκομικού γενετικού υλικού της χώρας και η εποπτεία των εισαγωγών μελισσοκομικού κεφαλαίου και μελισσοκομικού γενετικού υλικού, η) η μελέτη, ο προγραμματισμός και η βελτίωση της επικονίασης της άγριας και της καλλιεργούμενης χλωρίδας, θ) η δημιουργία ενός συστήματος έγκαιρης και έγκυρης προειδοποίησης των μελισσοκόμων σε περιπτώσεις χρήσης βιοκτόνων, προς αποφυγή κρουσμάτων δηλητηριάσεων, ύστερα από εκτεταμένους ψεκασμούς και ι) η προώθηση προγραμμάτων ανάπτυξης και εν γένει η στήριξη του κλάδου της μελισσοκομίας. Επίσης, με την ανάπτυξη και λειτουργία του εθνικού ηλεκτρονικού μελισσοκομικού μητρώου, απλουστεύονται οι διαδικασίες συμμετοχής των ενδιαφερομένων μελισσοκόμων, για παράδειγμα, σε προγράμματα οικονομικών ενισχύσεων ή καταβολής αποζημιώσεων. </w:t>
      </w:r>
    </w:p>
    <w:p w:rsidR="0002236B" w:rsidRPr="00687F57" w:rsidRDefault="0002236B" w:rsidP="009414FD">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lastRenderedPageBreak/>
        <w:t xml:space="preserve">Με την περ. β΄ της παρ. 1 καθορίζεται ότι οι Διευθύνσεις Συστημάτων Εκτροφής Ζώων και Ηλεκτρονικής Διακυβέρνησης του ΥΠΑΑΤ είναι αρμόδιες για την ανάπτυξη και λειτουργία του εθνικού ηλεκτρονικού μελισσοκομικού μητρώου. Παράλληλα, καθορίζονται οι υπηρεσίες και οι φορείς, με τους οποίους οι ανωτέρω Διευθύνσεις πρέπει να συνεργαστούν για την επιτυχή ολοκλήρωση και υλοποίηση του εθνικού ηλεκτρονικού μελισσοκομικού μητρώου. </w:t>
      </w:r>
    </w:p>
    <w:p w:rsidR="0002236B" w:rsidRPr="00687F57" w:rsidRDefault="0002236B" w:rsidP="009414FD">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Στην παρ. 2 προβλέπεται η καθιέρωση ατομικής μελισσοκομικής ταυτότητας για όλους τους μελισσοκόμους ως μέσο ταυτοποίησης και διακρίβωσης - διασταύρωσης των πληροφοριών που εμπεριέχονται σε αυτήν. Στόχος είναι, κατά την πλήρη και ολοκληρωμένη (ηλεκτρονική - ψηφιακή) μορφή λειτουργίας της ατομικής μελισσοκομικής ταυτότητας, να υπάρχει άμεση διασύνδεση και επικοινωνία αυτής με το εθνικό ηλεκτρονικό μελισσοκομικό μητρώο, προκειμένου να πραγματοποιείται διασταύρωση στοιχείων και συνεχής ενημέρωσή της με τις πληροφορίες που καταγράφονται στο μητρώο.</w:t>
      </w:r>
    </w:p>
    <w:p w:rsidR="0002236B" w:rsidRPr="00687F57" w:rsidRDefault="0002236B" w:rsidP="009414FD">
      <w:pPr>
        <w:autoSpaceDE w:val="0"/>
        <w:autoSpaceDN w:val="0"/>
        <w:adjustRightInd w:val="0"/>
        <w:spacing w:line="360" w:lineRule="auto"/>
        <w:jc w:val="both"/>
        <w:rPr>
          <w:rFonts w:asciiTheme="minorHAnsi" w:hAnsiTheme="minorHAnsi" w:cstheme="minorHAnsi"/>
        </w:rPr>
      </w:pPr>
      <w:r w:rsidRPr="00687F57">
        <w:rPr>
          <w:rFonts w:asciiTheme="minorHAnsi" w:hAnsiTheme="minorHAnsi" w:cstheme="minorHAnsi"/>
        </w:rPr>
        <w:t>Στις παρ. 3 και 4 προβλέπονται, αντίστοιχα, οι απαραίτητες εξουσιοδοτήσεις προς τον Υπουργό Αγροτικής Ανάπτυξης και Τροφίμων για την πλήρη εφαρμογή της προτεινόμενης διάταξης, καθώς και μεταβατική διάταξη για την ομαλή μετάβαση από το παλιό στο νέο κανονιστικό καθεστώς.</w:t>
      </w:r>
    </w:p>
    <w:p w:rsidR="00DB2D7F" w:rsidRPr="00687F57" w:rsidRDefault="00DB2D7F" w:rsidP="001E0C0F">
      <w:pPr>
        <w:spacing w:line="360" w:lineRule="auto"/>
        <w:jc w:val="both"/>
        <w:rPr>
          <w:rFonts w:asciiTheme="minorHAnsi" w:hAnsiTheme="minorHAnsi" w:cstheme="minorHAnsi"/>
          <w:lang w:val="en-GB"/>
        </w:rPr>
      </w:pPr>
    </w:p>
    <w:p w:rsidR="00DB2D7F" w:rsidRPr="00687F57" w:rsidRDefault="00DB2D7F" w:rsidP="001E0C0F">
      <w:pPr>
        <w:spacing w:line="360" w:lineRule="auto"/>
        <w:jc w:val="both"/>
        <w:rPr>
          <w:rFonts w:asciiTheme="minorHAnsi" w:hAnsiTheme="minorHAnsi" w:cstheme="minorHAnsi"/>
          <w:b/>
          <w:bCs/>
        </w:rPr>
      </w:pPr>
      <w:r w:rsidRPr="00687F57">
        <w:rPr>
          <w:rFonts w:asciiTheme="minorHAnsi" w:hAnsiTheme="minorHAnsi" w:cstheme="minorHAnsi"/>
          <w:b/>
          <w:bCs/>
        </w:rPr>
        <w:t>Επί του άρθρου 10</w:t>
      </w:r>
    </w:p>
    <w:p w:rsidR="00DB2D7F" w:rsidRPr="00687F57" w:rsidRDefault="00DB2D7F" w:rsidP="00687F57">
      <w:pPr>
        <w:spacing w:line="360" w:lineRule="auto"/>
        <w:jc w:val="both"/>
        <w:rPr>
          <w:rFonts w:asciiTheme="minorHAnsi" w:hAnsiTheme="minorHAnsi" w:cstheme="minorHAnsi"/>
          <w:b/>
          <w:bCs/>
          <w:lang w:val="en-GB"/>
        </w:rPr>
      </w:pPr>
      <w:r w:rsidRPr="00687F57">
        <w:rPr>
          <w:rFonts w:asciiTheme="minorHAnsi" w:hAnsiTheme="minorHAnsi" w:cstheme="minorHAnsi"/>
          <w:b/>
          <w:bCs/>
        </w:rPr>
        <w:t>Έλεγχοι ζωικής παραγωγής</w:t>
      </w:r>
    </w:p>
    <w:p w:rsidR="00DB2D7F" w:rsidRPr="00687F57" w:rsidRDefault="00DB2D7F" w:rsidP="00DB2D7F">
      <w:pPr>
        <w:spacing w:line="360" w:lineRule="auto"/>
        <w:jc w:val="both"/>
        <w:rPr>
          <w:rFonts w:asciiTheme="minorHAnsi" w:hAnsiTheme="minorHAnsi" w:cstheme="minorHAnsi"/>
        </w:rPr>
      </w:pPr>
      <w:r w:rsidRPr="00687F57">
        <w:rPr>
          <w:rFonts w:asciiTheme="minorHAnsi" w:hAnsiTheme="minorHAnsi" w:cstheme="minorHAnsi"/>
        </w:rPr>
        <w:t xml:space="preserve">Με την παρ. 1 του προτεινόμενου άρθρου προβλέπεται η ένταξη των επιχειρήσεων παραγωγής και εμπορίας αβγών κατανάλωσης στην ενιαία βάση δεδομένων «ΑΡΤΕΜΙΣ» για την επίτευξη του αποτελεσματικού ελέγχου ισοζυγίων, ιχνηλασιμότητας και αντιμετώπισης των αθέμιτων πρακτικών και ιδίως των ελληνοποιήσεων. Ειδικότερα, με την προτεινόμενη προσθήκη προβλέπεται η επέκταση των αρμοδιοτήτων του ΕΛΓΟ ΔΗΜΗΤΡΑ στον έλεγχο των ενωσιακών προτύπων εμπορίας και διακίνησης των αβγών με τη χρήση ισοζυγίων. </w:t>
      </w:r>
    </w:p>
    <w:p w:rsidR="00DB2D7F" w:rsidRPr="00687F57" w:rsidRDefault="00DB2D7F" w:rsidP="00DB2D7F">
      <w:pPr>
        <w:spacing w:line="360" w:lineRule="auto"/>
        <w:jc w:val="both"/>
        <w:rPr>
          <w:rFonts w:asciiTheme="minorHAnsi" w:hAnsiTheme="minorHAnsi" w:cstheme="minorHAnsi"/>
        </w:rPr>
      </w:pPr>
      <w:r w:rsidRPr="00687F57">
        <w:rPr>
          <w:rFonts w:asciiTheme="minorHAnsi" w:hAnsiTheme="minorHAnsi" w:cstheme="minorHAnsi"/>
        </w:rPr>
        <w:t xml:space="preserve">Με την παρ. 2 του προτεινόμενου άρθρου χορηγείται εξουσιοδότηση στον Υπουργό Αγροτικής Ανάπτυξης και Τροφίμων για την έκδοση απόφασης καθορισμού των υποχρεώσεων των παραγωγών και των εμπόρων αβγών κατανάλωσης, της διαδικτυακής διασύνδεσης των επιχειρήσεων παραγωγής, συλλογής/συσκευασίας </w:t>
      </w:r>
      <w:r w:rsidRPr="00687F57">
        <w:rPr>
          <w:rFonts w:asciiTheme="minorHAnsi" w:hAnsiTheme="minorHAnsi" w:cstheme="minorHAnsi"/>
        </w:rPr>
        <w:lastRenderedPageBreak/>
        <w:t xml:space="preserve">και εμπορίας αβγών στην εφαρμογή «ΑΡΤΕΜΙΣ», των διενεργούμενων ελέγχων τήρησης των υποχρεώσεων, των διοικητικών κυρώσεων σε περίπτωση μη συμμόρφωσης και της διαδικασίας επιβολής τους, της σύστασης και συγκρότησης συλλογικού οργάνου επιβολής κυρώσεων ή/και εξέτασης ενστάσεων κατά αποφάσεων επιβολής κυρώσεων, καθώς και κάθε άλλο θέμα σχετικό με τον έλεγχο της αγοράς αβγών κατανάλωσης, των θεμιτών εμπορικών πρακτικών, της ιχνηλασιμότητας και της παραπλάνησης του καταναλωτή.  </w:t>
      </w:r>
    </w:p>
    <w:p w:rsidR="00DB2D7F" w:rsidRPr="00687F57" w:rsidRDefault="00DB2D7F" w:rsidP="001E0C0F">
      <w:pPr>
        <w:spacing w:line="360" w:lineRule="auto"/>
        <w:jc w:val="both"/>
        <w:rPr>
          <w:rFonts w:asciiTheme="minorHAnsi" w:hAnsiTheme="minorHAnsi" w:cstheme="minorHAnsi"/>
          <w:b/>
          <w:lang w:val="en-GB"/>
        </w:rPr>
      </w:pPr>
    </w:p>
    <w:p w:rsidR="0002236B" w:rsidRPr="00687F57" w:rsidRDefault="0002236B" w:rsidP="001E0C0F">
      <w:pPr>
        <w:spacing w:line="360" w:lineRule="auto"/>
        <w:jc w:val="both"/>
        <w:rPr>
          <w:rFonts w:asciiTheme="minorHAnsi" w:hAnsiTheme="minorHAnsi" w:cstheme="minorHAnsi"/>
          <w:b/>
        </w:rPr>
      </w:pPr>
      <w:r w:rsidRPr="00687F57">
        <w:rPr>
          <w:rFonts w:asciiTheme="minorHAnsi" w:hAnsiTheme="minorHAnsi" w:cstheme="minorHAnsi"/>
          <w:b/>
        </w:rPr>
        <w:t xml:space="preserve">ΚΕΦΑΛΑΙΟ Γ΄ </w:t>
      </w:r>
    </w:p>
    <w:p w:rsidR="0002236B" w:rsidRPr="00687F57" w:rsidRDefault="0002236B" w:rsidP="001E0C0F">
      <w:pPr>
        <w:spacing w:line="360" w:lineRule="auto"/>
        <w:jc w:val="both"/>
        <w:rPr>
          <w:rFonts w:asciiTheme="minorHAnsi" w:hAnsiTheme="minorHAnsi" w:cstheme="minorHAnsi"/>
          <w:b/>
        </w:rPr>
      </w:pPr>
      <w:r w:rsidRPr="00687F57">
        <w:rPr>
          <w:rFonts w:asciiTheme="minorHAnsi" w:hAnsiTheme="minorHAnsi" w:cstheme="minorHAnsi"/>
          <w:b/>
        </w:rPr>
        <w:t>ΡΥΘΜΙΣΕΙΣ ΘΕΜΑΤΩΝ ΑΛΙΕΙΑΣ – ΥΔΑΤΟΚΑΛΛΙΕΡΓΕΙΩΝ</w:t>
      </w:r>
    </w:p>
    <w:p w:rsidR="0002236B" w:rsidRPr="00687F57" w:rsidRDefault="0002236B" w:rsidP="001E0C0F">
      <w:pPr>
        <w:spacing w:line="360" w:lineRule="auto"/>
        <w:jc w:val="both"/>
        <w:rPr>
          <w:rFonts w:asciiTheme="minorHAnsi" w:hAnsiTheme="minorHAnsi" w:cstheme="minorHAnsi"/>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1</w:t>
      </w:r>
      <w:r w:rsidR="00D74166" w:rsidRPr="00687F57">
        <w:rPr>
          <w:rFonts w:asciiTheme="minorHAnsi" w:hAnsiTheme="minorHAnsi" w:cstheme="minorHAnsi"/>
          <w:b/>
          <w:bCs/>
        </w:rPr>
        <w:t>1</w:t>
      </w:r>
    </w:p>
    <w:p w:rsidR="0002236B" w:rsidRPr="00687F57" w:rsidRDefault="0002236B" w:rsidP="00687F57">
      <w:pPr>
        <w:autoSpaceDE w:val="0"/>
        <w:autoSpaceDN w:val="0"/>
        <w:adjustRightInd w:val="0"/>
        <w:spacing w:line="360" w:lineRule="auto"/>
        <w:rPr>
          <w:rFonts w:asciiTheme="minorHAnsi" w:hAnsiTheme="minorHAnsi" w:cstheme="minorHAnsi"/>
          <w:b/>
          <w:bCs/>
          <w:color w:val="000000"/>
          <w:lang w:val="en-GB"/>
        </w:rPr>
      </w:pPr>
      <w:r w:rsidRPr="00687F57">
        <w:rPr>
          <w:rFonts w:asciiTheme="minorHAnsi" w:hAnsiTheme="minorHAnsi" w:cstheme="minorHAnsi"/>
          <w:b/>
          <w:bCs/>
          <w:color w:val="000000"/>
        </w:rPr>
        <w:t>Αλιευτικές ρυθμίσεις</w:t>
      </w:r>
    </w:p>
    <w:p w:rsidR="0002236B" w:rsidRPr="00687F57" w:rsidRDefault="0002236B" w:rsidP="00FE5E50">
      <w:pPr>
        <w:spacing w:line="360" w:lineRule="auto"/>
        <w:jc w:val="both"/>
        <w:rPr>
          <w:rFonts w:asciiTheme="minorHAnsi" w:hAnsiTheme="minorHAnsi" w:cstheme="minorHAnsi"/>
          <w:color w:val="000000"/>
        </w:rPr>
      </w:pPr>
      <w:r w:rsidRPr="00687F57">
        <w:rPr>
          <w:rFonts w:asciiTheme="minorHAnsi" w:hAnsiTheme="minorHAnsi" w:cstheme="minorHAnsi"/>
          <w:color w:val="000000"/>
        </w:rPr>
        <w:t>1. Με την παρ. 5 του άρθρου 10 του ν</w:t>
      </w:r>
      <w:r w:rsidR="004A5851" w:rsidRPr="00687F57">
        <w:rPr>
          <w:rFonts w:asciiTheme="minorHAnsi" w:hAnsiTheme="minorHAnsi" w:cstheme="minorHAnsi"/>
          <w:color w:val="000000"/>
        </w:rPr>
        <w:t>.</w:t>
      </w:r>
      <w:r w:rsidRPr="00687F57">
        <w:rPr>
          <w:rFonts w:asciiTheme="minorHAnsi" w:hAnsiTheme="minorHAnsi" w:cstheme="minorHAnsi"/>
          <w:color w:val="000000"/>
        </w:rPr>
        <w:t>δ</w:t>
      </w:r>
      <w:r w:rsidR="004A5851" w:rsidRPr="00687F57">
        <w:rPr>
          <w:rFonts w:asciiTheme="minorHAnsi" w:hAnsiTheme="minorHAnsi" w:cstheme="minorHAnsi"/>
          <w:color w:val="000000"/>
        </w:rPr>
        <w:t>.</w:t>
      </w:r>
      <w:r w:rsidRPr="00687F57">
        <w:rPr>
          <w:rFonts w:asciiTheme="minorHAnsi" w:hAnsiTheme="minorHAnsi" w:cstheme="minorHAnsi"/>
          <w:color w:val="000000"/>
        </w:rPr>
        <w:t xml:space="preserve"> 420/1970, ήδη ορίζεται ότι αν υπάρχει κίνδυνος μείωσης ή καταστροφής των ιχθυοαποθεμάτων και ιδι</w:t>
      </w:r>
      <w:r w:rsidR="002A29AB">
        <w:rPr>
          <w:rFonts w:asciiTheme="minorHAnsi" w:hAnsiTheme="minorHAnsi" w:cstheme="minorHAnsi"/>
          <w:color w:val="000000"/>
        </w:rPr>
        <w:t xml:space="preserve">αίτερα του γόνου των ψαριών, ή </w:t>
      </w:r>
      <w:r w:rsidRPr="00687F57">
        <w:rPr>
          <w:rFonts w:asciiTheme="minorHAnsi" w:hAnsiTheme="minorHAnsi" w:cstheme="minorHAnsi"/>
          <w:color w:val="000000"/>
        </w:rPr>
        <w:t>άλλων υδρόβιων οργανισμών ή κίνδυνος γενικότερης διαταραχής του υδάτινου οικολογικού συστήματος ή για λόγους ρύθμισης της αλιείας, μπορεί με αποφάσεις του Υπουργού Αγροτικής Ανάπτυξης και Τροφίμων, που εκδίδονται ύστερα από γνώμη του Συμβουλίου Αλιείας και δημοσιεύονται στην Εφημερίδα της Κυβερνήσεως, να επιβάλλονται για χρονική περίοδο μέχρι ένα έτος ειδικά ή πρόσθετα περιοριστικά της αλιείας μέτρα. Με τις αποφάσεις αυτές μπορεί να απαγορευθεί η αλιεία σε ορισμένη απόσταση από τις ακτές ή σε ορισμένο βάθος υδάτων, με ορισμένους τύπους σκαφών ή ορισμένα εργαλεία, ή η αλιεία ορισμένων ειδών, μεγεθών και ποσοτήτων αλιευμάτων σε μια ή περισσότερες θαλάσσιες λιμνοθαλάσσιες, λίμνιες και ποτάμιες περιοχές.</w:t>
      </w:r>
    </w:p>
    <w:p w:rsidR="0002236B" w:rsidRPr="00687F57" w:rsidRDefault="0002236B" w:rsidP="00FE5E50">
      <w:pPr>
        <w:spacing w:line="360" w:lineRule="auto"/>
        <w:jc w:val="both"/>
        <w:rPr>
          <w:rFonts w:asciiTheme="minorHAnsi" w:hAnsiTheme="minorHAnsi" w:cstheme="minorHAnsi"/>
          <w:color w:val="000000"/>
        </w:rPr>
      </w:pPr>
      <w:r w:rsidRPr="00687F57">
        <w:rPr>
          <w:rFonts w:asciiTheme="minorHAnsi" w:hAnsiTheme="minorHAnsi" w:cstheme="minorHAnsi"/>
          <w:color w:val="000000"/>
        </w:rPr>
        <w:t>Προκειμένου να δίνεται χρόνος στη διοίκηση να ολοκληρώνει τις διαδικασίες, πριν τη λήξη ισχύος των μέτρων που λαμβάνονται</w:t>
      </w:r>
      <w:r w:rsidR="004A5851" w:rsidRPr="00687F57">
        <w:rPr>
          <w:rFonts w:asciiTheme="minorHAnsi" w:hAnsiTheme="minorHAnsi" w:cstheme="minorHAnsi"/>
          <w:color w:val="000000"/>
        </w:rPr>
        <w:t>,</w:t>
      </w:r>
      <w:r w:rsidRPr="00687F57">
        <w:rPr>
          <w:rFonts w:asciiTheme="minorHAnsi" w:hAnsiTheme="minorHAnsi" w:cstheme="minorHAnsi"/>
          <w:color w:val="000000"/>
        </w:rPr>
        <w:t xml:space="preserve"> αλλά και για να υπάρχει ικανό χρονικό διάστημα να δοκιμάζονται τα επιβαλλόμενα </w:t>
      </w:r>
      <w:r w:rsidR="002A29AB">
        <w:rPr>
          <w:rFonts w:asciiTheme="minorHAnsi" w:hAnsiTheme="minorHAnsi" w:cstheme="minorHAnsi"/>
          <w:color w:val="000000"/>
        </w:rPr>
        <w:t xml:space="preserve">μέτρα, να συλλέγονται στοιχεία </w:t>
      </w:r>
      <w:r w:rsidRPr="00687F57">
        <w:rPr>
          <w:rFonts w:asciiTheme="minorHAnsi" w:hAnsiTheme="minorHAnsi" w:cstheme="minorHAnsi"/>
          <w:color w:val="000000"/>
        </w:rPr>
        <w:t>και να γίνονται διορθώσεις ή συμπληρώσεις, όπου κρίν</w:t>
      </w:r>
      <w:r w:rsidR="002A29AB">
        <w:rPr>
          <w:rFonts w:asciiTheme="minorHAnsi" w:hAnsiTheme="minorHAnsi" w:cstheme="minorHAnsi"/>
          <w:color w:val="000000"/>
        </w:rPr>
        <w:t xml:space="preserve">εται απαραίτητο, προτείνεται η </w:t>
      </w:r>
      <w:r w:rsidRPr="00687F57">
        <w:rPr>
          <w:rFonts w:asciiTheme="minorHAnsi" w:hAnsiTheme="minorHAnsi" w:cstheme="minorHAnsi"/>
          <w:color w:val="000000"/>
        </w:rPr>
        <w:t>τροποποίηση του άρθρου 10 του ν</w:t>
      </w:r>
      <w:r w:rsidR="004A5851" w:rsidRPr="00687F57">
        <w:rPr>
          <w:rFonts w:asciiTheme="minorHAnsi" w:hAnsiTheme="minorHAnsi" w:cstheme="minorHAnsi"/>
          <w:color w:val="000000"/>
        </w:rPr>
        <w:t>.</w:t>
      </w:r>
      <w:r w:rsidRPr="00687F57">
        <w:rPr>
          <w:rFonts w:asciiTheme="minorHAnsi" w:hAnsiTheme="minorHAnsi" w:cstheme="minorHAnsi"/>
          <w:color w:val="000000"/>
        </w:rPr>
        <w:t>δ</w:t>
      </w:r>
      <w:r w:rsidR="004A5851" w:rsidRPr="00687F57">
        <w:rPr>
          <w:rFonts w:asciiTheme="minorHAnsi" w:hAnsiTheme="minorHAnsi" w:cstheme="minorHAnsi"/>
          <w:color w:val="000000"/>
        </w:rPr>
        <w:t>.</w:t>
      </w:r>
      <w:r w:rsidR="002A29AB">
        <w:rPr>
          <w:rFonts w:asciiTheme="minorHAnsi" w:hAnsiTheme="minorHAnsi" w:cstheme="minorHAnsi"/>
          <w:color w:val="000000"/>
        </w:rPr>
        <w:t xml:space="preserve"> </w:t>
      </w:r>
      <w:r w:rsidRPr="00687F57">
        <w:rPr>
          <w:rFonts w:asciiTheme="minorHAnsi" w:hAnsiTheme="minorHAnsi" w:cstheme="minorHAnsi"/>
          <w:color w:val="000000"/>
        </w:rPr>
        <w:t>420/1970 με την πρόβλεψη για τη δυνατότητα παράτασης για ένα ακόμη έτος των μέτρων που λαμβάνονται με τις αποφάσεις αυτές.</w:t>
      </w:r>
    </w:p>
    <w:p w:rsidR="0002236B" w:rsidRPr="00687F57" w:rsidRDefault="0002236B" w:rsidP="00B33500">
      <w:pPr>
        <w:spacing w:line="360" w:lineRule="auto"/>
        <w:jc w:val="both"/>
        <w:rPr>
          <w:rFonts w:asciiTheme="minorHAnsi" w:hAnsiTheme="minorHAnsi" w:cstheme="minorHAnsi"/>
          <w:color w:val="000000"/>
        </w:rPr>
      </w:pPr>
      <w:r w:rsidRPr="00687F57">
        <w:rPr>
          <w:rFonts w:asciiTheme="minorHAnsi" w:hAnsiTheme="minorHAnsi" w:cstheme="minorHAnsi"/>
          <w:color w:val="000000"/>
        </w:rPr>
        <w:lastRenderedPageBreak/>
        <w:t>2. Με τις περ. α΄ και β΄ της παρ. 2 του προτεινόμενου άρθρου τροποποιείται η παρ. 5 του άρθρου 14 του ν.δ. 420/1970 (Α΄27), όπως η παράγραφος αυτή προστέθηκε με την παρ. 1 του άρθρου 59 του ν. 4235/2014 (Α΄ 32) και αντικαταστάθηκε με την παρ. 2 του άρθρου 32 του ν. 4597/2019 (Α΄ 35), προκειμένου να αντιμετωπιστούν ορισμένα προβλήματα εφαρμογής της ρύθμισης περί δυνατότητας διαγραφής ή μετατροπής κυρώσεω</w:t>
      </w:r>
      <w:r w:rsidR="004A5851" w:rsidRPr="00687F57">
        <w:rPr>
          <w:rFonts w:asciiTheme="minorHAnsi" w:hAnsiTheme="minorHAnsi" w:cstheme="minorHAnsi"/>
          <w:color w:val="000000"/>
        </w:rPr>
        <w:t>ν</w:t>
      </w:r>
      <w:r w:rsidRPr="00687F57">
        <w:rPr>
          <w:rFonts w:asciiTheme="minorHAnsi" w:hAnsiTheme="minorHAnsi" w:cstheme="minorHAnsi"/>
          <w:color w:val="000000"/>
        </w:rPr>
        <w:t xml:space="preserve"> που έχουν επιβληθεί για παραβάσεις της αλιευτικής νομοθεσίας και επί των οποίων εκκρεμεί εξέταση προσφυγών της παρ. 1 του άρθρου 14 του ν.δ. 420/1970 και να εξασφαλισθεί η ίση μεταχείριση όμοιων περιπτώσεων.  Ειδικότερα,  προτείνεται να δοθεί η δυνατότητα υποβολής αιτήσεων διαγραφής της διοικητικής κύρωσης της αφαίρεσης άδειας επαγγελματικού αλιευτικού σκάφους, η οποία επιβλήθηκε με απόφαση που εκδόθηκε πριν την 31</w:t>
      </w:r>
      <w:r w:rsidR="004A5851" w:rsidRPr="00687F57">
        <w:rPr>
          <w:rFonts w:asciiTheme="minorHAnsi" w:hAnsiTheme="minorHAnsi" w:cstheme="minorHAnsi"/>
          <w:color w:val="000000"/>
        </w:rPr>
        <w:t>η</w:t>
      </w:r>
      <w:r w:rsidRPr="00687F57">
        <w:rPr>
          <w:rFonts w:asciiTheme="minorHAnsi" w:hAnsiTheme="minorHAnsi" w:cstheme="minorHAnsi"/>
          <w:color w:val="000000"/>
        </w:rPr>
        <w:t xml:space="preserve">.12.2014, εφόσον έχει καταβληθεί από τον πλοιοκτήτη το επιβληθέν χρηματικό πρόστιμο ή το οφειλόμενο ποσό του χρηματικού προστίμου έχει υπαχθεί από τον πλοιοκτήτη σε ρύθμιση, καθώς με την ισχύουσα διάταξη της περ. β΄ της παρ. 5 του άρθρου 14 του ν.δ. 420/1970 δεν προβλέπεται μετατροπή των ημερών αφαίρεσης της άδειας σε χρηματικά πρόστιμα ανάλογα με τα οριζόμενα στην περ. ε΄ της παρ. 5 του ν.δ. 420/1970, που αφορά το ίδιο είδος κυρώσεων που επιβλήθηκαν μετά τις 31.12.2014, ενώ στην περ. γ΄ της παρ. 5 του ίδιου άρθρου προβλέπεται, όσον αφορά το ίδιο είδος κυρώσεων που επιβλήθηκαν ως τις 31.12.2004 η δυνατότητα υποβολής αίτησης διαγραφής όλων των ημερών αφαίρεσης της άδειας σκάφους χωρίς μετατροπή σε χρηματικό πρόστιμο. </w:t>
      </w:r>
    </w:p>
    <w:p w:rsidR="0002236B" w:rsidRPr="00687F57" w:rsidRDefault="0002236B" w:rsidP="00B33500">
      <w:pPr>
        <w:spacing w:line="360" w:lineRule="auto"/>
        <w:jc w:val="both"/>
        <w:rPr>
          <w:rFonts w:asciiTheme="minorHAnsi" w:hAnsiTheme="minorHAnsi" w:cstheme="minorHAnsi"/>
          <w:color w:val="000000"/>
        </w:rPr>
      </w:pPr>
      <w:r w:rsidRPr="00687F57">
        <w:rPr>
          <w:rFonts w:asciiTheme="minorHAnsi" w:hAnsiTheme="minorHAnsi" w:cstheme="minorHAnsi"/>
          <w:color w:val="000000"/>
        </w:rPr>
        <w:t>Με την περ. γ΄ της προτεινόμενης παρ. 2 προστίθεται εδάφιο στο τέλος της παρ. 8 του άρθρου 14 του ν.δ. 420/1970</w:t>
      </w:r>
      <w:r w:rsidR="004A5851" w:rsidRPr="00687F57">
        <w:rPr>
          <w:rFonts w:asciiTheme="minorHAnsi" w:hAnsiTheme="minorHAnsi" w:cstheme="minorHAnsi"/>
          <w:color w:val="000000"/>
        </w:rPr>
        <w:t>,</w:t>
      </w:r>
      <w:r w:rsidRPr="00687F57">
        <w:rPr>
          <w:rFonts w:asciiTheme="minorHAnsi" w:hAnsiTheme="minorHAnsi" w:cstheme="minorHAnsi"/>
          <w:color w:val="000000"/>
        </w:rPr>
        <w:t xml:space="preserve"> προκειμένου να δοθεί εξουσιοδότηση στους αρμόδιους Υπουργούς για τη ρύθμιση  ειδικότερων θεμάτων που σχετίζονται με τη διαδικασία παρακολούθησης αποπληρωμής, καθώς και βεβαίωσης και είσπραξης των χρηματικών προστίμων που προβλέπονται στην παράγραφο 5 του</w:t>
      </w:r>
      <w:r w:rsidR="004A5851" w:rsidRPr="00687F57">
        <w:rPr>
          <w:rFonts w:asciiTheme="minorHAnsi" w:hAnsiTheme="minorHAnsi" w:cstheme="minorHAnsi"/>
          <w:color w:val="000000"/>
        </w:rPr>
        <w:t xml:space="preserve"> άρθρου 14 του</w:t>
      </w:r>
      <w:r w:rsidRPr="00687F57">
        <w:rPr>
          <w:rFonts w:asciiTheme="minorHAnsi" w:hAnsiTheme="minorHAnsi" w:cstheme="minorHAnsi"/>
          <w:color w:val="000000"/>
        </w:rPr>
        <w:t xml:space="preserve"> ν.δ. 420/1970.  </w:t>
      </w:r>
    </w:p>
    <w:p w:rsidR="0002236B" w:rsidRPr="00687F57" w:rsidRDefault="0002236B" w:rsidP="006F7A05">
      <w:pPr>
        <w:spacing w:line="360" w:lineRule="auto"/>
        <w:jc w:val="both"/>
        <w:rPr>
          <w:rFonts w:asciiTheme="minorHAnsi" w:hAnsiTheme="minorHAnsi" w:cstheme="minorHAnsi"/>
          <w:color w:val="000000"/>
        </w:rPr>
      </w:pPr>
      <w:r w:rsidRPr="00687F57">
        <w:rPr>
          <w:rFonts w:asciiTheme="minorHAnsi" w:hAnsiTheme="minorHAnsi" w:cstheme="minorHAnsi"/>
          <w:color w:val="000000"/>
        </w:rPr>
        <w:t xml:space="preserve">3. Με την περ. α΄ της προτεινόμενης παρ. 3 τροποποιείται η περ. β΄ της παρ. 3 του άρθρου 11 του από 23-3/8-4-1953 βασιλικού διατάγματος «Περί κανονισμού της διά κυκλικών δικτύων (γρί-γρί) αλιείας» (Α΄ 81), όπως το άρθρο 11 είχε αντικατασταθεί με το άρθρο 1 του π.δ. 224/1991 (Α΄ 93) και αντικαταστάθηκε με την παρ. 1 του άρθρου μόνου του π.δ. 25/1993 (Α΄ 9). </w:t>
      </w:r>
    </w:p>
    <w:p w:rsidR="0002236B" w:rsidRPr="00687F57" w:rsidRDefault="0002236B" w:rsidP="006F7A05">
      <w:pPr>
        <w:spacing w:line="360" w:lineRule="auto"/>
        <w:jc w:val="both"/>
        <w:rPr>
          <w:rFonts w:asciiTheme="minorHAnsi" w:hAnsiTheme="minorHAnsi" w:cstheme="minorHAnsi"/>
          <w:color w:val="000000"/>
        </w:rPr>
      </w:pPr>
      <w:r w:rsidRPr="00687F57">
        <w:rPr>
          <w:rFonts w:asciiTheme="minorHAnsi" w:hAnsiTheme="minorHAnsi" w:cstheme="minorHAnsi"/>
          <w:color w:val="000000"/>
        </w:rPr>
        <w:lastRenderedPageBreak/>
        <w:t xml:space="preserve">Στην εν λόγω διάταξη προβλέπεται η απαγόρευση της αλιείας με κυκλικά δίκτυα (γρι γρι) νύχτας κατά την πανσέληνο, δυο ημέρες πριν και δύο μετά, με εξαίρεση τις περιοχές του Σαρωνικού και της Κρήτης όπου η απαγόρευση ισχύει για όλα τα Σάββατα του μήνα και την επόμενη της πανσελήνου Κυριακή. </w:t>
      </w:r>
    </w:p>
    <w:p w:rsidR="0002236B" w:rsidRPr="00687F57" w:rsidRDefault="0002236B" w:rsidP="006F7A05">
      <w:pPr>
        <w:spacing w:line="360" w:lineRule="auto"/>
        <w:jc w:val="both"/>
        <w:rPr>
          <w:rFonts w:asciiTheme="minorHAnsi" w:hAnsiTheme="minorHAnsi" w:cstheme="minorHAnsi"/>
          <w:color w:val="000000"/>
        </w:rPr>
      </w:pPr>
      <w:r w:rsidRPr="00687F57">
        <w:rPr>
          <w:rFonts w:asciiTheme="minorHAnsi" w:hAnsiTheme="minorHAnsi" w:cstheme="minorHAnsi"/>
          <w:color w:val="000000"/>
        </w:rPr>
        <w:t xml:space="preserve">Συνεπώς υπάρχει διαφορετική ρύθμιση της λειτουργίας του </w:t>
      </w:r>
      <w:r w:rsidR="004A5851" w:rsidRPr="00687F57">
        <w:rPr>
          <w:rFonts w:asciiTheme="minorHAnsi" w:hAnsiTheme="minorHAnsi" w:cstheme="minorHAnsi"/>
          <w:color w:val="000000"/>
        </w:rPr>
        <w:t xml:space="preserve">ίδιου εργαλείου </w:t>
      </w:r>
      <w:r w:rsidRPr="00687F57">
        <w:rPr>
          <w:rFonts w:asciiTheme="minorHAnsi" w:hAnsiTheme="minorHAnsi" w:cstheme="minorHAnsi"/>
          <w:color w:val="000000"/>
        </w:rPr>
        <w:t xml:space="preserve">σε διαφορετικές περιοχές της Χώρας. </w:t>
      </w:r>
    </w:p>
    <w:p w:rsidR="0002236B" w:rsidRPr="00687F57" w:rsidRDefault="0002236B" w:rsidP="006F7A05">
      <w:pPr>
        <w:spacing w:line="360" w:lineRule="auto"/>
        <w:jc w:val="both"/>
        <w:rPr>
          <w:rFonts w:asciiTheme="minorHAnsi" w:hAnsiTheme="minorHAnsi" w:cstheme="minorHAnsi"/>
          <w:color w:val="000000"/>
        </w:rPr>
      </w:pPr>
      <w:r w:rsidRPr="00687F57">
        <w:rPr>
          <w:rFonts w:asciiTheme="minorHAnsi" w:hAnsiTheme="minorHAnsi" w:cstheme="minorHAnsi"/>
          <w:color w:val="000000"/>
        </w:rPr>
        <w:t xml:space="preserve">Με την προτεινόμενη διάταξη επιχειρείται η υιοθέτηση της απαγόρευσης αλιείας με κυκλικά δίκτυα (γρι γρι) νύχτας όλες τις ημέρες του Σαββάτου και την επόμενη της πανσελήνου Κυριακή ενιαία για όλες τις περιοχές της Χώρας, εξασφαλίζοντας έτσι την ομοιόμορφη ρύθμιση της λειτουργίας του ανωτέρω αλιευτικού εργαλείου πανελλαδικά. </w:t>
      </w:r>
    </w:p>
    <w:p w:rsidR="0002236B" w:rsidRPr="00687F57" w:rsidRDefault="0002236B" w:rsidP="006F7A05">
      <w:pPr>
        <w:spacing w:line="360" w:lineRule="auto"/>
        <w:jc w:val="both"/>
        <w:rPr>
          <w:rFonts w:asciiTheme="minorHAnsi" w:hAnsiTheme="minorHAnsi" w:cstheme="minorHAnsi"/>
          <w:color w:val="000000"/>
        </w:rPr>
      </w:pPr>
      <w:r w:rsidRPr="00687F57">
        <w:rPr>
          <w:rFonts w:asciiTheme="minorHAnsi" w:hAnsiTheme="minorHAnsi" w:cstheme="minorHAnsi"/>
          <w:color w:val="000000"/>
        </w:rPr>
        <w:t>Επιπλέον, από έρευνα που πραγματοποιήθηκε, διαπιστώθηκε ότι οι ημέρες παύσης της αλιευτική</w:t>
      </w:r>
      <w:r w:rsidR="00A24DFD" w:rsidRPr="00687F57">
        <w:rPr>
          <w:rFonts w:asciiTheme="minorHAnsi" w:hAnsiTheme="minorHAnsi" w:cstheme="minorHAnsi"/>
          <w:color w:val="000000"/>
        </w:rPr>
        <w:t>ς</w:t>
      </w:r>
      <w:r w:rsidRPr="00687F57">
        <w:rPr>
          <w:rFonts w:asciiTheme="minorHAnsi" w:hAnsiTheme="minorHAnsi" w:cstheme="minorHAnsi"/>
          <w:color w:val="000000"/>
        </w:rPr>
        <w:t xml:space="preserve"> δραστηριότητας με την προτεινόμενη τροποποίηση από 1/3 έως 14/12 είναι, ανάλογα με το έτος, από 50 έως 52, ενώ με την ισχύουσα απαγόρευση κατά τις ημέρες της πανσελήνου είναι 45 ή 50.</w:t>
      </w:r>
    </w:p>
    <w:p w:rsidR="0002236B" w:rsidRPr="00687F57" w:rsidRDefault="0002236B" w:rsidP="006F7A05">
      <w:pPr>
        <w:spacing w:line="360" w:lineRule="auto"/>
        <w:jc w:val="both"/>
        <w:rPr>
          <w:rFonts w:asciiTheme="minorHAnsi" w:hAnsiTheme="minorHAnsi" w:cstheme="minorHAnsi"/>
          <w:color w:val="000000"/>
        </w:rPr>
      </w:pPr>
      <w:r w:rsidRPr="00687F57">
        <w:rPr>
          <w:rFonts w:asciiTheme="minorHAnsi" w:hAnsiTheme="minorHAnsi" w:cstheme="minorHAnsi"/>
          <w:color w:val="000000"/>
        </w:rPr>
        <w:t>Κατά συνέπεια, εφόσον με την προτεινόμενη διάταξη οι ημέρες παύσης της αλιευτικής δραστηριότητας αυξάνονται, αυτή συμβάλλει θετικά στη βιώσιμη διαχείριση των αποθεμάτων με καλύτερη αξιοποίηση των αλιευμάτων.</w:t>
      </w:r>
    </w:p>
    <w:p w:rsidR="0002236B" w:rsidRPr="00687F57" w:rsidRDefault="0002236B" w:rsidP="001E72E3">
      <w:pPr>
        <w:spacing w:line="360" w:lineRule="auto"/>
        <w:jc w:val="both"/>
        <w:rPr>
          <w:rFonts w:asciiTheme="minorHAnsi" w:hAnsiTheme="minorHAnsi" w:cstheme="minorHAnsi"/>
          <w:color w:val="000000"/>
        </w:rPr>
      </w:pPr>
      <w:r w:rsidRPr="00687F57">
        <w:rPr>
          <w:rFonts w:asciiTheme="minorHAnsi" w:hAnsiTheme="minorHAnsi" w:cstheme="minorHAnsi"/>
          <w:color w:val="000000"/>
        </w:rPr>
        <w:t>Με την περ. β΄ της προτεινόμενης παρ. 3 προστίθεται άρθρο 15α στο από 23-3/8-4-1953 β.δ., προκειμένου να προσδιορισθεί ρητά η έννοια της αλιευτικής δραστηριότητας με το αλιευτικό εργαλείο κυκλικά δίκτυα (γρι γρι). Ειδικότερα:</w:t>
      </w:r>
    </w:p>
    <w:p w:rsidR="0002236B" w:rsidRPr="00687F57" w:rsidRDefault="0002236B" w:rsidP="001E72E3">
      <w:pPr>
        <w:spacing w:line="360" w:lineRule="auto"/>
        <w:jc w:val="both"/>
        <w:rPr>
          <w:rFonts w:asciiTheme="minorHAnsi" w:hAnsiTheme="minorHAnsi" w:cstheme="minorHAnsi"/>
          <w:color w:val="000000"/>
        </w:rPr>
      </w:pPr>
      <w:r w:rsidRPr="00687F57">
        <w:rPr>
          <w:rFonts w:asciiTheme="minorHAnsi" w:hAnsiTheme="minorHAnsi" w:cstheme="minorHAnsi"/>
          <w:color w:val="000000"/>
        </w:rPr>
        <w:t>Πέρα από τις απαγορεύσεις αλιείας με κυκλικά δίκτυα (γρι γρι) που προβλέπονται στο από 23-3/8-4-1953 β.δ., σε διατάξεις της εθνικής και ενωσιακής αλιευτικής νομοθεσίας προβλέπονται πρόσθετες απαγορεύσεις σε ό</w:t>
      </w:r>
      <w:r w:rsidR="00A24DFD" w:rsidRPr="00687F57">
        <w:rPr>
          <w:rFonts w:asciiTheme="minorHAnsi" w:hAnsiTheme="minorHAnsi" w:cstheme="minorHAnsi"/>
          <w:color w:val="000000"/>
        </w:rPr>
        <w:t>,</w:t>
      </w:r>
      <w:r w:rsidRPr="00687F57">
        <w:rPr>
          <w:rFonts w:asciiTheme="minorHAnsi" w:hAnsiTheme="minorHAnsi" w:cstheme="minorHAnsi"/>
          <w:color w:val="000000"/>
        </w:rPr>
        <w:t xml:space="preserve">τι αφορά την ελάχιστη απόσταση από την ακτή και το ελάχιστο βάθος, όπου </w:t>
      </w:r>
      <w:r w:rsidR="00A24DFD" w:rsidRPr="00687F57">
        <w:rPr>
          <w:rFonts w:asciiTheme="minorHAnsi" w:hAnsiTheme="minorHAnsi" w:cstheme="minorHAnsi"/>
          <w:color w:val="000000"/>
        </w:rPr>
        <w:t xml:space="preserve">επιτρέπεται να αλιεύουν </w:t>
      </w:r>
      <w:r w:rsidRPr="00687F57">
        <w:rPr>
          <w:rFonts w:asciiTheme="minorHAnsi" w:hAnsiTheme="minorHAnsi" w:cstheme="minorHAnsi"/>
          <w:color w:val="000000"/>
        </w:rPr>
        <w:t xml:space="preserve">τα αλιευτικά σκάφη με κυκλικά δίχτυα (γρι γρι). </w:t>
      </w:r>
    </w:p>
    <w:p w:rsidR="0002236B" w:rsidRPr="00687F57" w:rsidRDefault="0002236B" w:rsidP="001E72E3">
      <w:pPr>
        <w:pStyle w:val="title-doc-first"/>
        <w:spacing w:before="0" w:beforeAutospacing="0" w:after="0" w:afterAutospacing="0" w:line="360" w:lineRule="auto"/>
        <w:jc w:val="both"/>
        <w:rPr>
          <w:rFonts w:asciiTheme="minorHAnsi" w:hAnsiTheme="minorHAnsi" w:cstheme="minorHAnsi"/>
          <w:color w:val="000000"/>
        </w:rPr>
      </w:pPr>
      <w:r w:rsidRPr="00687F57">
        <w:rPr>
          <w:rFonts w:asciiTheme="minorHAnsi" w:hAnsiTheme="minorHAnsi" w:cstheme="minorHAnsi"/>
          <w:color w:val="000000"/>
        </w:rPr>
        <w:t>Επιπλέον, σύμφωνα με την παρ. 11 του άρθρου 2 του εκτελεστικού κανονισμού (ΕΕ) αριθ. 404/2011 της Επιτροπής της 8ης Απριλίου 2011 «</w:t>
      </w:r>
      <w:hyperlink r:id="rId7" w:tooltip="32011R0404" w:history="1">
        <w:r w:rsidRPr="00687F57">
          <w:rPr>
            <w:rStyle w:val="Hyperlink"/>
            <w:rFonts w:asciiTheme="minorHAnsi" w:hAnsiTheme="minorHAnsi" w:cstheme="minorHAnsi"/>
            <w:color w:val="000000"/>
            <w:u w:val="none"/>
          </w:rPr>
          <w:t>για τη θέσπιση λεπτομερών κανόνων σχετικά με την εφαρμογή του κανονισμού (ΕΚ) αριθ. 1224/2009 περί της θέσπισης κοινοτικού συστήματος ελέγχου για την εξασφάλιση της τήρησης των κανόνων της κοινής αλιευτικής πολιτικής</w:t>
        </w:r>
      </w:hyperlink>
      <w:r w:rsidRPr="00687F57">
        <w:rPr>
          <w:rFonts w:asciiTheme="minorHAnsi" w:hAnsiTheme="minorHAnsi" w:cstheme="minorHAnsi"/>
          <w:color w:val="000000"/>
        </w:rPr>
        <w:t xml:space="preserve">» (ΕΕ L 112 της 30.4.2011, σ. 1), ως «αλιευτική δραστηριότητα» νοείται κάθε δραστηριότητα που συνδέεται με την </w:t>
      </w:r>
      <w:r w:rsidRPr="00687F57">
        <w:rPr>
          <w:rFonts w:asciiTheme="minorHAnsi" w:hAnsiTheme="minorHAnsi" w:cstheme="minorHAnsi"/>
          <w:color w:val="000000"/>
        </w:rPr>
        <w:lastRenderedPageBreak/>
        <w:t xml:space="preserve">αναζήτηση αλιευμάτων, τη ρίψη, την πόντιση και την ανάσυρση αλιευτικών εργαλείων, τη ρύθμιση, τον εμποτισμό την ανάσυρση και εκ νέου ρύθμιση αδρανών εργαλείων και την αφαίρεση οιουδήποτε αλιεύματος από τα αλιευτικά εργαλεία, τα δίκτυα διατήρησης ή τον κλωβό μεταφοράς προς κλωβούς πάχυνσης και εκτροφής. </w:t>
      </w:r>
    </w:p>
    <w:p w:rsidR="0002236B" w:rsidRPr="00687F57" w:rsidRDefault="0002236B" w:rsidP="001E72E3">
      <w:pPr>
        <w:spacing w:line="360" w:lineRule="auto"/>
        <w:jc w:val="both"/>
        <w:rPr>
          <w:rFonts w:asciiTheme="minorHAnsi" w:hAnsiTheme="minorHAnsi" w:cstheme="minorHAnsi"/>
          <w:color w:val="000000"/>
        </w:rPr>
      </w:pPr>
      <w:r w:rsidRPr="00687F57">
        <w:rPr>
          <w:rFonts w:asciiTheme="minorHAnsi" w:hAnsiTheme="minorHAnsi" w:cstheme="minorHAnsi"/>
          <w:color w:val="000000"/>
        </w:rPr>
        <w:t>Κατόπιν των ανωτέρω, με την προτεινόμενη διάταξη προβλέπεται ρητά ότι οι απαγορεύσεις στη διενέργεια αλιείας με κυκλικά δίχτυα (γρι γρι) που προβλέπονται συνολικά στην εθνική και ενωσιακή νομοθεσία, αφορούν το σύνολο της αλιευτικής δραστηριότητας που συνδέεται με το συγκεκριμένο αλιευτικό εργαλείο και το σύνολο του εξοπλισμού που χρησιμοποιείται για την αλιεία με αυτό.</w:t>
      </w:r>
    </w:p>
    <w:p w:rsidR="0002236B" w:rsidRPr="00687F57" w:rsidRDefault="0002236B" w:rsidP="00BA2003">
      <w:pPr>
        <w:spacing w:line="360" w:lineRule="auto"/>
        <w:rPr>
          <w:rFonts w:asciiTheme="minorHAnsi" w:hAnsiTheme="minorHAnsi" w:cstheme="minorHAnsi"/>
          <w:b/>
          <w:bCs/>
          <w:color w:val="000000"/>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1</w:t>
      </w:r>
      <w:r w:rsidR="00D74166" w:rsidRPr="00687F57">
        <w:rPr>
          <w:rFonts w:asciiTheme="minorHAnsi" w:hAnsiTheme="minorHAnsi" w:cstheme="minorHAnsi"/>
          <w:b/>
          <w:bCs/>
        </w:rPr>
        <w:t>2</w:t>
      </w:r>
    </w:p>
    <w:p w:rsidR="0002236B" w:rsidRPr="00687F57" w:rsidRDefault="0002236B" w:rsidP="00687F57">
      <w:pPr>
        <w:autoSpaceDE w:val="0"/>
        <w:autoSpaceDN w:val="0"/>
        <w:adjustRightInd w:val="0"/>
        <w:spacing w:line="360" w:lineRule="auto"/>
        <w:rPr>
          <w:rFonts w:asciiTheme="minorHAnsi" w:hAnsiTheme="minorHAnsi" w:cstheme="minorHAnsi"/>
          <w:b/>
          <w:bCs/>
          <w:color w:val="000000"/>
          <w:lang w:val="en-GB"/>
        </w:rPr>
      </w:pPr>
      <w:r w:rsidRPr="00687F57">
        <w:rPr>
          <w:rFonts w:asciiTheme="minorHAnsi" w:hAnsiTheme="minorHAnsi" w:cstheme="minorHAnsi"/>
          <w:b/>
          <w:bCs/>
          <w:color w:val="000000"/>
        </w:rPr>
        <w:t>Λειτουργία Περιοχών Οργανωμένης Ανάπτυξης Υδατοκαλλιεργειών (Π.Ο.Α.Υ.)</w:t>
      </w:r>
    </w:p>
    <w:p w:rsidR="0002236B" w:rsidRPr="00687F57" w:rsidRDefault="0002236B" w:rsidP="00AE5F2A">
      <w:pPr>
        <w:spacing w:line="360" w:lineRule="auto"/>
        <w:jc w:val="both"/>
        <w:rPr>
          <w:rFonts w:asciiTheme="minorHAnsi" w:hAnsiTheme="minorHAnsi" w:cstheme="minorHAnsi"/>
          <w:color w:val="000000"/>
        </w:rPr>
      </w:pPr>
      <w:r w:rsidRPr="00687F57">
        <w:rPr>
          <w:rFonts w:asciiTheme="minorHAnsi" w:hAnsiTheme="minorHAnsi" w:cstheme="minorHAnsi"/>
          <w:color w:val="000000"/>
        </w:rPr>
        <w:t>1. Με την προτεινόμενη παρ. 1 προστίθενται παρ. 4 και 5 στο άρθρο 6 του ν. 4282/2014 «Ανάπτυξη Υδατοκαλλιεργειών και άλλες διατάξεις» (Α΄ 182), προκειμένου να προβλεφθεί ότι ο κανονισμός λειτουργίας μίας Περιοχής Οργανωμένης Ανάπτυξης Υδατοκαλλιεργειών (Π.Ο.Α.Υ.), την ευθύνη του οποίου έχει ο φορέας διαχείρισής της, εγκρίνεται με απόφαση του Συντονιστή της οικείας Αποκεντρωμένης Διοίκησης, μετά από εισήγηση της αρμόδιας Διεύθυνσης Αγροτικών Υποθέσεων. Ειδικότερα, ως προς τον κανονισμό λειτουργίας της Π.Ο.Α.Υ.:</w:t>
      </w:r>
    </w:p>
    <w:p w:rsidR="0002236B" w:rsidRPr="00687F57" w:rsidRDefault="0002236B" w:rsidP="00AE5F2A">
      <w:pPr>
        <w:spacing w:line="360" w:lineRule="auto"/>
        <w:jc w:val="both"/>
        <w:rPr>
          <w:rFonts w:asciiTheme="minorHAnsi" w:hAnsiTheme="minorHAnsi" w:cstheme="minorHAnsi"/>
          <w:color w:val="000000"/>
        </w:rPr>
      </w:pPr>
      <w:r w:rsidRPr="00687F57">
        <w:rPr>
          <w:rFonts w:asciiTheme="minorHAnsi" w:hAnsiTheme="minorHAnsi" w:cstheme="minorHAnsi"/>
          <w:color w:val="000000"/>
        </w:rPr>
        <w:t xml:space="preserve">α) Στο παράρτημα Β΄ της αριθ. Η.Π. 17239/30.8.2002 απόφασης της Υπουργού Περιβάλλοντος Χωροταξίας και Δημοσίων Έργων «Καθορισμός δικαιολογητικών, διαδικασίας και προϋποθέσεων χωροθέτησης Περιοχών Οργανωμένης Ανάπτυξης Υδατοκαλλιεργειών» (Β΄ 1175), προβλέπεται ότι στα περιεχόμενα της Μελέτης βιωσιμότητας-σκοπιμότητας της Π.Ο.Α.Υ. και σχεδίου οργάνωσης και λειτουργίας που υποβάλλεται από τον φορέα, περιλαμβάνεται και κανονισμός λειτουργίας και αρμοδιότητες αυτού. </w:t>
      </w:r>
    </w:p>
    <w:p w:rsidR="0002236B" w:rsidRPr="00687F57" w:rsidRDefault="0002236B" w:rsidP="00AE5F2A">
      <w:pPr>
        <w:spacing w:line="360" w:lineRule="auto"/>
        <w:jc w:val="both"/>
        <w:rPr>
          <w:rFonts w:asciiTheme="minorHAnsi" w:hAnsiTheme="minorHAnsi" w:cstheme="minorHAnsi"/>
          <w:color w:val="000000"/>
        </w:rPr>
      </w:pPr>
      <w:r w:rsidRPr="00687F57">
        <w:rPr>
          <w:rFonts w:asciiTheme="minorHAnsi" w:hAnsiTheme="minorHAnsi" w:cstheme="minorHAnsi"/>
          <w:color w:val="000000"/>
        </w:rPr>
        <w:t xml:space="preserve">β) Στο άρθρο 6 στοιχείο Β΄ υποστοιχείο β΄ της αριθμ. 31722/4-11-2011 απόφασης της Επιτροπής Συντονισμού της Κυβερνητικής Πολιτικής στον τομέα του Χωροταξικού Σχεδιασμού και της Αειφόρου Ανάπτυξης «Έγκριση Ειδικού Πλαισίου Χωροταξικού Σχεδιασμού και Αειφόρου Ανάπτυξης για τις υδατοκαλλιέργειες και της στρατηγικής μελέτης περιβαλλοντικών επιπτώσεων αυτού» (Β΄ 2505), </w:t>
      </w:r>
      <w:r w:rsidRPr="00687F57">
        <w:rPr>
          <w:rFonts w:asciiTheme="minorHAnsi" w:hAnsiTheme="minorHAnsi" w:cstheme="minorHAnsi"/>
          <w:color w:val="000000"/>
        </w:rPr>
        <w:lastRenderedPageBreak/>
        <w:t xml:space="preserve">προβλέπεται ότι για την έγκριση Π.Ο.Α.Υ. απαιτείται η κατάθεση κανονισμού λειτουργίας, την ευθύνη του οποίου έχει ο φορέας. Ο κανονισμός λειτουργίας ρυθμίζει τη διαχείριση και λειτουργία της Π.Ο.Α.Υ. και των εγκατεστημένων σε αυτήν κύριων, συνοδών και υποστηρικτικών εγκαταστάσεων.      </w:t>
      </w:r>
    </w:p>
    <w:p w:rsidR="0002236B" w:rsidRPr="00687F57" w:rsidRDefault="0002236B" w:rsidP="00AE5F2A">
      <w:pPr>
        <w:spacing w:line="360" w:lineRule="auto"/>
        <w:jc w:val="both"/>
        <w:rPr>
          <w:rFonts w:asciiTheme="minorHAnsi" w:hAnsiTheme="minorHAnsi" w:cstheme="minorHAnsi"/>
          <w:color w:val="000000"/>
        </w:rPr>
      </w:pPr>
      <w:r w:rsidRPr="00687F57">
        <w:rPr>
          <w:rFonts w:asciiTheme="minorHAnsi" w:hAnsiTheme="minorHAnsi" w:cstheme="minorHAnsi"/>
          <w:color w:val="000000"/>
        </w:rPr>
        <w:t xml:space="preserve">γ) Τέλος, στην παρ. 5 της αριθμ. Δ10/2019 γνωμοδότησης του Συμβουλίου της Επικρατείας (ΣτΕ) για το σχέδιο προεδρικού διατάγματος «Χαρακτηρισμός και Οριοθέτηση Περιοχής Οργανωμένης Ανάπτυξης Υδατοκαλλιεργειών (Π.Ο.Α.Υ.) που βρίσκεται σε θαλάσσιες περιοχές της Περιφερειακής Ενότητας Πιερίας της Περιφέρειας Κεντρικής Μακεδονίας και περιβαλλοντική έγκριση του σχεδίου αυτού», αναφέρεται ότι πριν την έναρξη κανονικής λειτουργίας της Π.Ο.Α.Υ. πρέπει να έχει εγκριθεί αρμοδίως ο κανονισμός λειτουργίας με εξειδίκευση των ρυθμίσεων που ήδη περιλαμβάνονται στο σχετικό κεφάλαιο του υπό επεξεργασία ως άνω π.δ. με τίτλο “Κανονισμός Λειτουργίας”, ο οποίος δεν αποτελεί πλήρη κανονισμό αλλά προαναγγελία του περιεχομένου του, σε συνδυασμό με τα προβλεπόμενα στο Ειδικό Πλαίσιο για τις υδατοκαλλιέργειες ως προς τα ζητήματα που δύναται να ρυθμίζει (ΦΕΚ Β΄ 2505/2011, άρθρο 6 Β, σελ. 36570).  </w:t>
      </w:r>
    </w:p>
    <w:p w:rsidR="0002236B" w:rsidRPr="00687F57" w:rsidRDefault="0002236B" w:rsidP="00AE5F2A">
      <w:pPr>
        <w:spacing w:line="360" w:lineRule="auto"/>
        <w:jc w:val="both"/>
        <w:rPr>
          <w:rFonts w:asciiTheme="minorHAnsi" w:hAnsiTheme="minorHAnsi" w:cstheme="minorHAnsi"/>
          <w:color w:val="000000"/>
        </w:rPr>
      </w:pPr>
      <w:r w:rsidRPr="00687F57">
        <w:rPr>
          <w:rFonts w:asciiTheme="minorHAnsi" w:hAnsiTheme="minorHAnsi" w:cstheme="minorHAnsi"/>
          <w:color w:val="000000"/>
        </w:rPr>
        <w:t xml:space="preserve">Κατόπιν των ανωτέρω, επειδή στην ισχύουσα νομοθεσία δεν υπάρχει διάταξη σχετικά με την αρμόδια αρχή για την έγκριση του κανονισμού λειτουργίας των Π.Ο.Α.Υ., η προτεινόμενη προσθήκη στο άρθρο 6 του ν. 4282/2014 κρίνεται αναγκαία για τον καθορισμό της εν λόγω αρμόδιας αρχής, προκειμένου να μπορεί να λειτουργήσει κανονικά τόσο η Π.Ο.Α.Υ. Πιερίας, για την οποία ο λόγος στο ανωτέρω πρακτικό γνωμοδότησης του ΣτΕ, όσο και οι υπόλοιπες Π.Ο.Α.Υ. που είναι σε εξέλιξη.  </w:t>
      </w:r>
    </w:p>
    <w:p w:rsidR="0002236B" w:rsidRPr="00687F57" w:rsidRDefault="0002236B" w:rsidP="00AE5F2A">
      <w:pPr>
        <w:spacing w:line="360" w:lineRule="auto"/>
        <w:jc w:val="both"/>
        <w:rPr>
          <w:rFonts w:asciiTheme="minorHAnsi" w:hAnsiTheme="minorHAnsi" w:cstheme="minorHAnsi"/>
          <w:color w:val="000000"/>
        </w:rPr>
      </w:pPr>
      <w:r w:rsidRPr="00687F57">
        <w:rPr>
          <w:rFonts w:asciiTheme="minorHAnsi" w:hAnsiTheme="minorHAnsi" w:cstheme="minorHAnsi"/>
          <w:color w:val="000000"/>
        </w:rPr>
        <w:t xml:space="preserve">2. Με την προτεινόμενη παρ. 2 αντικαθίσταται το άρθρο 12 του ν. 4282/2014 για τους ακόλουθους λόγους: </w:t>
      </w:r>
    </w:p>
    <w:p w:rsidR="0002236B" w:rsidRPr="00687F57" w:rsidRDefault="0002236B" w:rsidP="00AE5F2A">
      <w:pPr>
        <w:spacing w:line="360" w:lineRule="auto"/>
        <w:jc w:val="both"/>
        <w:rPr>
          <w:rFonts w:asciiTheme="minorHAnsi" w:hAnsiTheme="minorHAnsi" w:cstheme="minorHAnsi"/>
          <w:color w:val="000000"/>
        </w:rPr>
      </w:pPr>
      <w:r w:rsidRPr="00687F57">
        <w:rPr>
          <w:rFonts w:asciiTheme="minorHAnsi" w:hAnsiTheme="minorHAnsi" w:cstheme="minorHAnsi"/>
          <w:color w:val="000000"/>
        </w:rPr>
        <w:t xml:space="preserve">α) Όπως διευκρινίζεται με το υπ’ αριθμ. 1060374 ΕΞ 2017/ 02-05-2017 έγγραφο της Ανεξάρτητης Αρχής Δημοσίων Εσόδων (ΑΑΔΕ), η οριζόμενη με το άρθρο 12 του ν. 4282/2014 διαδικασία απόδοσης των μισθωμάτων στους δήμους δεν συνάδει με τις ισχύουσες διατάξεις περί δημοσίου λογιστικού του ν. 2362/1995 (Α΄ 247) [ο οποίος έχει ήδη αντικατασταθεί από τον ν. 4270/2014 (Α΄ 143)] και της υπ’ αριθ. Δ16Ε1113067ΕΞ2011/5-8-2011 απόφασης του Αναπληρωτή Υπουργού Οικονομικών «Είσπραξη εσόδων υπέρ Δήμων από τις Δημόσιες Οικονομικές Υπηρεσίες (Δ.Ο.Υ)», </w:t>
      </w:r>
      <w:r w:rsidRPr="00687F57">
        <w:rPr>
          <w:rFonts w:asciiTheme="minorHAnsi" w:hAnsiTheme="minorHAnsi" w:cstheme="minorHAnsi"/>
          <w:color w:val="000000"/>
        </w:rPr>
        <w:lastRenderedPageBreak/>
        <w:t>σύμφωνα με την οποία είσπραξη εσόδων υπέρ δήμων από τις Δ.Ο.Υ. πραγματοποιείται μόνο σε περιπτώσεις εσόδων των δήμων που συμβεβαιώνονται με έσοδα του Δημοσίου.</w:t>
      </w:r>
    </w:p>
    <w:p w:rsidR="0002236B" w:rsidRPr="00687F57" w:rsidRDefault="0002236B" w:rsidP="00AE5F2A">
      <w:pPr>
        <w:spacing w:line="360" w:lineRule="auto"/>
        <w:jc w:val="both"/>
        <w:rPr>
          <w:rFonts w:asciiTheme="minorHAnsi" w:hAnsiTheme="minorHAnsi" w:cstheme="minorHAnsi"/>
          <w:color w:val="000000"/>
        </w:rPr>
      </w:pPr>
      <w:r w:rsidRPr="00687F57">
        <w:rPr>
          <w:rFonts w:asciiTheme="minorHAnsi" w:hAnsiTheme="minorHAnsi" w:cstheme="minorHAnsi"/>
          <w:color w:val="000000"/>
        </w:rPr>
        <w:t>β) Επιπλέον, με την ισχύουσα ρύθμιση δεν είναι δυνατή η απόδοση ποσοστού των μισθωμάτων στους δικαιούχους φορείς διαχείρισης, καθώς δεν τους χορηγούνται Κωδικοί Αριθμοί Εσόδων από την αρμόδια ΑΑΔΕ, όπως έχει επισημανθεί και από τη Δ/νση Προϋπολογισμού και Δημοσιονομικών Αναφορών του Υπουργείου Περιβάλλοντος και Ενέργειας με το από 22/10/2018 μήνυμα ηλεκτρονικού ταχυδρομείου προς τη Δ/νση  Υδατοκαλλιεργειών του ΥΠΑΑΤ.</w:t>
      </w:r>
    </w:p>
    <w:p w:rsidR="0002236B" w:rsidRPr="00687F57" w:rsidRDefault="0002236B" w:rsidP="00AE5F2A">
      <w:pPr>
        <w:spacing w:line="360" w:lineRule="auto"/>
        <w:jc w:val="both"/>
        <w:rPr>
          <w:rFonts w:asciiTheme="minorHAnsi" w:hAnsiTheme="minorHAnsi" w:cstheme="minorHAnsi"/>
          <w:color w:val="000000"/>
        </w:rPr>
      </w:pPr>
      <w:r w:rsidRPr="00687F57">
        <w:rPr>
          <w:rFonts w:asciiTheme="minorHAnsi" w:hAnsiTheme="minorHAnsi" w:cstheme="minorHAnsi"/>
          <w:color w:val="000000"/>
        </w:rPr>
        <w:t>Κατόπιν των ανωτέρω, η αντικατάσταση του άρθρου 12 του ν. 4282/2014 κρίνεται αναγκαία, προκειμένου να αντιμετωπιστούν τα ανωτέρω προβλήματα και να προχωρήσει απρόσκοπτα η είσπραξη και απόδοση των μισθωμάτων από την παραχώρηση χρήσης (εκμίσθωση) θαλάσσιων και λιμναίων υδάτινων εκτάσεων για τη λειτουργία μονάδων υδατοκαλλιέργειας, εντατικής ή ημιεντατικής μορφής, σε όλους τους δικαιούχους.</w:t>
      </w:r>
    </w:p>
    <w:p w:rsidR="004A6DD9" w:rsidRPr="00687F57" w:rsidRDefault="004A6DD9" w:rsidP="00AE5F2A">
      <w:pPr>
        <w:spacing w:line="360" w:lineRule="auto"/>
        <w:jc w:val="both"/>
        <w:rPr>
          <w:rFonts w:asciiTheme="minorHAnsi" w:hAnsiTheme="minorHAnsi" w:cstheme="minorHAnsi"/>
          <w:color w:val="000000"/>
          <w:lang w:val="en-GB"/>
        </w:rPr>
      </w:pPr>
    </w:p>
    <w:p w:rsidR="0002236B" w:rsidRPr="00687F57" w:rsidRDefault="0002236B" w:rsidP="00AE5F2A">
      <w:pPr>
        <w:spacing w:line="360" w:lineRule="auto"/>
        <w:jc w:val="both"/>
        <w:rPr>
          <w:rFonts w:asciiTheme="minorHAnsi" w:hAnsiTheme="minorHAnsi" w:cstheme="minorHAnsi"/>
          <w:b/>
          <w:color w:val="000000"/>
        </w:rPr>
      </w:pPr>
      <w:r w:rsidRPr="00687F57">
        <w:rPr>
          <w:rFonts w:asciiTheme="minorHAnsi" w:hAnsiTheme="minorHAnsi" w:cstheme="minorHAnsi"/>
          <w:b/>
          <w:color w:val="000000"/>
        </w:rPr>
        <w:t>ΚΕΦΑΛΑΙΟ Δ΄</w:t>
      </w:r>
    </w:p>
    <w:p w:rsidR="0002236B" w:rsidRPr="00687F57" w:rsidRDefault="0002236B" w:rsidP="00AE5F2A">
      <w:pPr>
        <w:spacing w:line="360" w:lineRule="auto"/>
        <w:jc w:val="both"/>
        <w:rPr>
          <w:rFonts w:asciiTheme="minorHAnsi" w:hAnsiTheme="minorHAnsi" w:cstheme="minorHAnsi"/>
          <w:b/>
          <w:color w:val="000000"/>
        </w:rPr>
      </w:pPr>
      <w:r w:rsidRPr="00687F57">
        <w:rPr>
          <w:rFonts w:asciiTheme="minorHAnsi" w:hAnsiTheme="minorHAnsi" w:cstheme="minorHAnsi"/>
          <w:b/>
          <w:color w:val="000000"/>
        </w:rPr>
        <w:t xml:space="preserve">ΡΥΘΜΙΣΕΙΣ ΚΤΗΝΙΑΤΡΙΚΩΝ ΘΕΜΑΤΩΝ </w:t>
      </w:r>
    </w:p>
    <w:p w:rsidR="0002236B" w:rsidRPr="00687F57" w:rsidRDefault="0002236B" w:rsidP="00AE5F2A">
      <w:pPr>
        <w:spacing w:line="360" w:lineRule="auto"/>
        <w:jc w:val="both"/>
        <w:rPr>
          <w:rFonts w:asciiTheme="minorHAnsi" w:hAnsiTheme="minorHAnsi" w:cstheme="minorHAnsi"/>
          <w:color w:val="000000"/>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1</w:t>
      </w:r>
      <w:r w:rsidR="004A6DD9" w:rsidRPr="00687F57">
        <w:rPr>
          <w:rFonts w:asciiTheme="minorHAnsi" w:hAnsiTheme="minorHAnsi" w:cstheme="minorHAnsi"/>
          <w:b/>
          <w:bCs/>
        </w:rPr>
        <w:t>3</w:t>
      </w:r>
    </w:p>
    <w:p w:rsidR="0002236B" w:rsidRPr="00687F57" w:rsidRDefault="0002236B" w:rsidP="00687F57">
      <w:pPr>
        <w:spacing w:line="360" w:lineRule="auto"/>
        <w:rPr>
          <w:rFonts w:asciiTheme="minorHAnsi" w:hAnsiTheme="minorHAnsi" w:cstheme="minorHAnsi"/>
          <w:b/>
          <w:lang w:val="en-GB"/>
        </w:rPr>
      </w:pPr>
      <w:r w:rsidRPr="00687F57">
        <w:rPr>
          <w:rFonts w:asciiTheme="minorHAnsi" w:hAnsiTheme="minorHAnsi" w:cstheme="minorHAnsi"/>
          <w:b/>
        </w:rPr>
        <w:t>Κτηνιατρικά φαρμακευτικά προϊόντα</w:t>
      </w:r>
    </w:p>
    <w:p w:rsidR="004A6DD9" w:rsidRPr="00687F57" w:rsidRDefault="0002236B" w:rsidP="004A6DD9">
      <w:pPr>
        <w:spacing w:line="360" w:lineRule="auto"/>
        <w:jc w:val="both"/>
        <w:rPr>
          <w:rFonts w:asciiTheme="minorHAnsi" w:hAnsiTheme="minorHAnsi" w:cstheme="minorHAnsi"/>
        </w:rPr>
      </w:pPr>
      <w:r w:rsidRPr="00687F57">
        <w:rPr>
          <w:rFonts w:asciiTheme="minorHAnsi" w:hAnsiTheme="minorHAnsi" w:cstheme="minorHAnsi"/>
        </w:rPr>
        <w:t>Με τις διατάξεις του προτεινόμενου άρθρου τροποποιούνται διατάξεις του ν. 2538/1997 (Α΄242) και του ν. 3698/2008 (Α΄ 198), οι οποίες αφορούν στην εμπορία, διάθεση και χρήση των κτηνιατρικών φαρμακευτικών προϊόντων και φαρμακούχων ζωοτροφών, λαμβάνοντας υπόψη την αποκτηθείσα εμπειρία και τα προβλήματα που αναδείχτηκαν την τελευταία δεκαετία εφαρμογής αυτών, με στόχο: α) τη βελτίωση των προβλεπόμενων κυρώσεων και τη βαθμιαία κλιμάκωσή τους, ώστε αυτές να γίνουν περισσότερο αναλογικές και αποτρεπτικές, βάσει κυρίως της σοβαρότητας της παράβασης και το</w:t>
      </w:r>
      <w:r w:rsidR="00A10BBA" w:rsidRPr="00687F57">
        <w:rPr>
          <w:rFonts w:asciiTheme="minorHAnsi" w:hAnsiTheme="minorHAnsi" w:cstheme="minorHAnsi"/>
        </w:rPr>
        <w:t>υ</w:t>
      </w:r>
      <w:r w:rsidRPr="00687F57">
        <w:rPr>
          <w:rFonts w:asciiTheme="minorHAnsi" w:hAnsiTheme="minorHAnsi" w:cstheme="minorHAnsi"/>
        </w:rPr>
        <w:t xml:space="preserve"> δυνητικ</w:t>
      </w:r>
      <w:r w:rsidR="00A10BBA" w:rsidRPr="00687F57">
        <w:rPr>
          <w:rFonts w:asciiTheme="minorHAnsi" w:hAnsiTheme="minorHAnsi" w:cstheme="minorHAnsi"/>
        </w:rPr>
        <w:t>ού</w:t>
      </w:r>
      <w:r w:rsidRPr="00687F57">
        <w:rPr>
          <w:rFonts w:asciiTheme="minorHAnsi" w:hAnsiTheme="minorHAnsi" w:cstheme="minorHAnsi"/>
        </w:rPr>
        <w:t xml:space="preserve"> κ</w:t>
      </w:r>
      <w:r w:rsidR="00A10BBA" w:rsidRPr="00687F57">
        <w:rPr>
          <w:rFonts w:asciiTheme="minorHAnsi" w:hAnsiTheme="minorHAnsi" w:cstheme="minorHAnsi"/>
        </w:rPr>
        <w:t>ι</w:t>
      </w:r>
      <w:r w:rsidRPr="00687F57">
        <w:rPr>
          <w:rFonts w:asciiTheme="minorHAnsi" w:hAnsiTheme="minorHAnsi" w:cstheme="minorHAnsi"/>
        </w:rPr>
        <w:t>νδ</w:t>
      </w:r>
      <w:r w:rsidR="00A10BBA" w:rsidRPr="00687F57">
        <w:rPr>
          <w:rFonts w:asciiTheme="minorHAnsi" w:hAnsiTheme="minorHAnsi" w:cstheme="minorHAnsi"/>
        </w:rPr>
        <w:t>ύ</w:t>
      </w:r>
      <w:r w:rsidRPr="00687F57">
        <w:rPr>
          <w:rFonts w:asciiTheme="minorHAnsi" w:hAnsiTheme="minorHAnsi" w:cstheme="minorHAnsi"/>
        </w:rPr>
        <w:t>νο</w:t>
      </w:r>
      <w:r w:rsidR="00A10BBA" w:rsidRPr="00687F57">
        <w:rPr>
          <w:rFonts w:asciiTheme="minorHAnsi" w:hAnsiTheme="minorHAnsi" w:cstheme="minorHAnsi"/>
        </w:rPr>
        <w:t>υ</w:t>
      </w:r>
      <w:r w:rsidRPr="00687F57">
        <w:rPr>
          <w:rFonts w:asciiTheme="minorHAnsi" w:hAnsiTheme="minorHAnsi" w:cstheme="minorHAnsi"/>
        </w:rPr>
        <w:t xml:space="preserve">, με απώτερο στόχο τη συμμόρφωση, β) την προσθήκη περιπτώσεων παραβάσεων, γ) την αποποινικοποίηση ορισμένων παραβάσεων οι οποίες δεν συνιστούν σοβαρό κίνδυνο για την υγεία των ζώων και τη δημόσια υγεία και δ) τη βελτίωση των </w:t>
      </w:r>
      <w:r w:rsidRPr="00687F57">
        <w:rPr>
          <w:rFonts w:asciiTheme="minorHAnsi" w:hAnsiTheme="minorHAnsi" w:cstheme="minorHAnsi"/>
        </w:rPr>
        <w:lastRenderedPageBreak/>
        <w:t xml:space="preserve">επισήμων ελέγχων στον τομέα των κτηνιατρικών φαρμάκων σε συμμόρφωση προς τις συστάσεις της Ευρωπαϊκής Επιτροπής. Επισημαίνεται ότι όσον αφορά στην εν γένει διάθεση και χρήση των κτηνιατρικών φαρμακευτικών προϊόντων και φαρμακούχων ζωοτροφών στις εκτροφές παραγωγικών ζώων, </w:t>
      </w:r>
      <w:r w:rsidR="00A10BBA" w:rsidRPr="00687F57">
        <w:rPr>
          <w:rFonts w:asciiTheme="minorHAnsi" w:hAnsiTheme="minorHAnsi" w:cstheme="minorHAnsi"/>
        </w:rPr>
        <w:t xml:space="preserve">αυτές </w:t>
      </w:r>
      <w:r w:rsidRPr="00687F57">
        <w:rPr>
          <w:rFonts w:asciiTheme="minorHAnsi" w:hAnsiTheme="minorHAnsi" w:cstheme="minorHAnsi"/>
        </w:rPr>
        <w:t xml:space="preserve">ρυθμίζονται από τις διατάξεις της παρ. 2 του άρθρου 23 και του άρθρου 24 του ν. 4235/2014 (Α΄ 32). Ειδικότερα: </w:t>
      </w:r>
    </w:p>
    <w:p w:rsidR="0002236B" w:rsidRPr="00687F57" w:rsidRDefault="0002236B" w:rsidP="004A6DD9">
      <w:pPr>
        <w:spacing w:line="360" w:lineRule="auto"/>
        <w:jc w:val="both"/>
        <w:rPr>
          <w:rFonts w:asciiTheme="minorHAnsi" w:hAnsiTheme="minorHAnsi" w:cstheme="minorHAnsi"/>
        </w:rPr>
      </w:pPr>
      <w:r w:rsidRPr="00687F57">
        <w:rPr>
          <w:rFonts w:asciiTheme="minorHAnsi" w:hAnsiTheme="minorHAnsi" w:cstheme="minorHAnsi"/>
        </w:rPr>
        <w:t xml:space="preserve">Με την παρ. 1 του προτεινόμενου  άρθρου αντικαθίσταται το άρθρο 10 του ν. 2538/1997, όπως αυτό τροποποιήθηκε με το άρθρο 23 του ν. 3698/2008 (Α΄ 198), προκειμένου να αναπροσαρμοσθεί το ύψος των προστίμων, να προβλεφθεί  βαθμιαία κλιμάκωση των κυρώσεων και να προστεθούν νέες περιπτώσεις παραβάσεων σύμφωνα με την αποκτηθείσα από τους διενεργηθέντες ελέγχους εμπειρία. </w:t>
      </w:r>
    </w:p>
    <w:p w:rsidR="0002236B" w:rsidRPr="00687F57" w:rsidRDefault="0002236B" w:rsidP="009E6EE5">
      <w:pPr>
        <w:spacing w:line="360" w:lineRule="exact"/>
        <w:jc w:val="both"/>
        <w:rPr>
          <w:rFonts w:asciiTheme="minorHAnsi" w:hAnsiTheme="minorHAnsi" w:cstheme="minorHAnsi"/>
        </w:rPr>
      </w:pPr>
      <w:r w:rsidRPr="00687F57">
        <w:rPr>
          <w:rFonts w:asciiTheme="minorHAnsi" w:hAnsiTheme="minorHAnsi" w:cstheme="minorHAnsi"/>
        </w:rPr>
        <w:t>Με την παρ. 2 τ</w:t>
      </w:r>
      <w:r w:rsidR="004A6DD9" w:rsidRPr="00687F57">
        <w:rPr>
          <w:rFonts w:asciiTheme="minorHAnsi" w:hAnsiTheme="minorHAnsi" w:cstheme="minorHAnsi"/>
        </w:rPr>
        <w:t>ου προτεινόμενου άρθρου</w:t>
      </w:r>
      <w:r w:rsidRPr="00687F57">
        <w:rPr>
          <w:rFonts w:asciiTheme="minorHAnsi" w:hAnsiTheme="minorHAnsi" w:cstheme="minorHAnsi"/>
        </w:rPr>
        <w:t xml:space="preserve"> αντικαθίσταται το άρθρο 11 του ν. 2538/1997</w:t>
      </w:r>
      <w:r w:rsidR="00A10BBA" w:rsidRPr="00687F57">
        <w:rPr>
          <w:rFonts w:asciiTheme="minorHAnsi" w:hAnsiTheme="minorHAnsi" w:cstheme="minorHAnsi"/>
        </w:rPr>
        <w:t>,</w:t>
      </w:r>
      <w:r w:rsidRPr="00687F57">
        <w:rPr>
          <w:rFonts w:asciiTheme="minorHAnsi" w:hAnsiTheme="minorHAnsi" w:cstheme="minorHAnsi"/>
        </w:rPr>
        <w:t xml:space="preserve"> προκειμένου να ρυθμισθούν θέματα σχετικά με τους επισήμους ελέγχους, την απόσυρση και καταστροφή των κτηνιατρικών φαρμακευτικών προϊόντων και φαρμακούχων ζωοτροφών, να καθορισθούν οι συχνότητες των ελέγχων, καθώς και να επικαιροποιηθούν οι αρμόδιες αρχές.</w:t>
      </w:r>
    </w:p>
    <w:p w:rsidR="0002236B" w:rsidRPr="00687F57" w:rsidRDefault="0002236B" w:rsidP="009E6EE5">
      <w:pPr>
        <w:spacing w:line="360" w:lineRule="exact"/>
        <w:jc w:val="both"/>
        <w:rPr>
          <w:rFonts w:asciiTheme="minorHAnsi" w:hAnsiTheme="minorHAnsi" w:cstheme="minorHAnsi"/>
        </w:rPr>
      </w:pPr>
      <w:r w:rsidRPr="00687F57">
        <w:rPr>
          <w:rFonts w:asciiTheme="minorHAnsi" w:hAnsiTheme="minorHAnsi" w:cstheme="minorHAnsi"/>
        </w:rPr>
        <w:t>Με την παρ. 3 του προτεινόμενου  άρθρου αντικαθίσταται το άρθρο 22 του ν. 3698/2008 προκειμένου να αναπροσαρμοσθούν οι κυρώσεις σχετικά με τα κτηνιατρικά γραφεία παραγωγικών ζώων. Επισημαίνεται ότι οι κυρώσεις των παρ. 2 και 3 του άρθρου 22, όπως ισχύει σήμερα, ενσωματώνονται στο προτεινόμενο, ως άνω, άρθρο 10 του ν. 2538/1997.</w:t>
      </w:r>
    </w:p>
    <w:p w:rsidR="0002236B" w:rsidRPr="00687F57" w:rsidRDefault="0002236B" w:rsidP="009E6EE5">
      <w:pPr>
        <w:spacing w:line="360" w:lineRule="exact"/>
        <w:jc w:val="both"/>
        <w:rPr>
          <w:rFonts w:asciiTheme="minorHAnsi" w:hAnsiTheme="minorHAnsi" w:cstheme="minorHAnsi"/>
        </w:rPr>
      </w:pPr>
      <w:r w:rsidRPr="00687F57">
        <w:rPr>
          <w:rFonts w:asciiTheme="minorHAnsi" w:hAnsiTheme="minorHAnsi" w:cstheme="minorHAnsi"/>
        </w:rPr>
        <w:t>Με την παρ. 4 του προτεινόμενου άρθρου προβλέπεται μεταβατική διάταξη που αφορά παραβάσεις οι οποίες έχουν διαπιστωθεί πριν την έναρξη ισχύος του παρόντος, πλην όμως δεν έχουν επιβληθεί ακόμα κυρώσεις.</w:t>
      </w:r>
    </w:p>
    <w:p w:rsidR="0001736D" w:rsidRPr="00687F57" w:rsidRDefault="0001736D" w:rsidP="003917A8">
      <w:pPr>
        <w:spacing w:line="360" w:lineRule="auto"/>
        <w:rPr>
          <w:rFonts w:asciiTheme="minorHAnsi" w:hAnsiTheme="minorHAnsi" w:cstheme="minorHAnsi"/>
          <w:b/>
          <w:color w:val="FF0000"/>
          <w:lang w:val="en-GB"/>
        </w:rPr>
      </w:pPr>
    </w:p>
    <w:p w:rsidR="00085297" w:rsidRPr="00687F57" w:rsidRDefault="00085297" w:rsidP="003917A8">
      <w:pPr>
        <w:spacing w:line="360" w:lineRule="auto"/>
        <w:rPr>
          <w:rFonts w:asciiTheme="minorHAnsi" w:hAnsiTheme="minorHAnsi" w:cstheme="minorHAnsi"/>
          <w:b/>
        </w:rPr>
      </w:pPr>
      <w:r w:rsidRPr="00687F57">
        <w:rPr>
          <w:rFonts w:asciiTheme="minorHAnsi" w:hAnsiTheme="minorHAnsi" w:cstheme="minorHAnsi"/>
          <w:b/>
        </w:rPr>
        <w:t>Επί του άρθρου 1</w:t>
      </w:r>
      <w:r w:rsidR="0001736D" w:rsidRPr="00687F57">
        <w:rPr>
          <w:rFonts w:asciiTheme="minorHAnsi" w:hAnsiTheme="minorHAnsi" w:cstheme="minorHAnsi"/>
          <w:b/>
        </w:rPr>
        <w:t>4</w:t>
      </w:r>
    </w:p>
    <w:p w:rsidR="00013911" w:rsidRPr="00687F57" w:rsidRDefault="00085297" w:rsidP="00687F57">
      <w:pPr>
        <w:spacing w:line="360" w:lineRule="auto"/>
        <w:rPr>
          <w:rFonts w:asciiTheme="minorHAnsi" w:hAnsiTheme="minorHAnsi" w:cstheme="minorHAnsi"/>
          <w:b/>
          <w:lang w:val="en-GB"/>
        </w:rPr>
      </w:pPr>
      <w:r w:rsidRPr="00687F57">
        <w:rPr>
          <w:rFonts w:asciiTheme="minorHAnsi" w:hAnsiTheme="minorHAnsi" w:cstheme="minorHAnsi"/>
          <w:b/>
        </w:rPr>
        <w:t>Σχολές Επαγγελμάτων Κρέατος</w:t>
      </w:r>
      <w:r w:rsidR="00C84ACB" w:rsidRPr="00687F57">
        <w:rPr>
          <w:rFonts w:asciiTheme="minorHAnsi" w:hAnsiTheme="minorHAnsi" w:cstheme="minorHAnsi"/>
        </w:rPr>
        <w:t xml:space="preserve"> </w:t>
      </w:r>
      <w:r w:rsidR="00C84ACB" w:rsidRPr="00687F57">
        <w:rPr>
          <w:rFonts w:asciiTheme="minorHAnsi" w:hAnsiTheme="minorHAnsi" w:cstheme="minorHAnsi"/>
          <w:b/>
        </w:rPr>
        <w:t>- Εκδοροσφαγείς</w:t>
      </w:r>
    </w:p>
    <w:p w:rsidR="0002236B" w:rsidRPr="00687F57" w:rsidRDefault="00013911" w:rsidP="00013911">
      <w:pPr>
        <w:spacing w:line="360" w:lineRule="auto"/>
        <w:jc w:val="both"/>
        <w:rPr>
          <w:rFonts w:asciiTheme="minorHAnsi" w:hAnsiTheme="minorHAnsi" w:cstheme="minorHAnsi"/>
          <w:bCs/>
        </w:rPr>
      </w:pPr>
      <w:r w:rsidRPr="00687F57">
        <w:rPr>
          <w:rFonts w:asciiTheme="minorHAnsi" w:hAnsiTheme="minorHAnsi" w:cstheme="minorHAnsi"/>
          <w:bCs/>
        </w:rPr>
        <w:t>Με την παρ. 1 του προτεινόμενου άρθρου τροποποιούνται διατάξεις</w:t>
      </w:r>
      <w:r w:rsidRPr="00687F57">
        <w:rPr>
          <w:rFonts w:asciiTheme="minorHAnsi" w:hAnsiTheme="minorHAnsi" w:cstheme="minorHAnsi"/>
        </w:rPr>
        <w:t xml:space="preserve"> </w:t>
      </w:r>
      <w:r w:rsidRPr="00687F57">
        <w:rPr>
          <w:rFonts w:asciiTheme="minorHAnsi" w:hAnsiTheme="minorHAnsi" w:cstheme="minorHAnsi"/>
          <w:bCs/>
        </w:rPr>
        <w:t>του άρθρου 18 του ν. 1790/1988 (Α΄ 134) με σκοπό την απλούστευση της διαδικασίας αναγνώρισης των δημόσιων ή ιδιωτικών σχολών και ιδρυμάτων της χώρας που είναι αντίστοιχες/α με τις σχολές επαγγελμάτων κρέατος του ΥΠΑΑΤ.</w:t>
      </w:r>
    </w:p>
    <w:p w:rsidR="00013911" w:rsidRPr="00687F57" w:rsidRDefault="00013911" w:rsidP="00013911">
      <w:pPr>
        <w:spacing w:line="360" w:lineRule="auto"/>
        <w:jc w:val="both"/>
        <w:rPr>
          <w:rFonts w:asciiTheme="minorHAnsi" w:hAnsiTheme="minorHAnsi" w:cstheme="minorHAnsi"/>
          <w:bCs/>
        </w:rPr>
      </w:pPr>
      <w:r w:rsidRPr="00687F57">
        <w:rPr>
          <w:rFonts w:asciiTheme="minorHAnsi" w:hAnsiTheme="minorHAnsi" w:cstheme="minorHAnsi"/>
          <w:bCs/>
        </w:rPr>
        <w:lastRenderedPageBreak/>
        <w:t>Με την παρ. 2 του προτεινόμενου άρθρου τροποποιούνται διατάξεις</w:t>
      </w:r>
      <w:r w:rsidRPr="00687F57">
        <w:rPr>
          <w:rFonts w:asciiTheme="minorHAnsi" w:hAnsiTheme="minorHAnsi" w:cstheme="minorHAnsi"/>
        </w:rPr>
        <w:t xml:space="preserve"> </w:t>
      </w:r>
      <w:r w:rsidRPr="00687F57">
        <w:rPr>
          <w:rFonts w:asciiTheme="minorHAnsi" w:hAnsiTheme="minorHAnsi" w:cstheme="minorHAnsi"/>
          <w:bCs/>
        </w:rPr>
        <w:t>του π.δ. 126/2000  (Α΄111) που αφορούν την εκπαίδευση των εκδοροσφαγέων από τις σχολές επαγγελμάτων κρέατος του ΥΠΑΑΤ.</w:t>
      </w:r>
    </w:p>
    <w:p w:rsidR="00013911" w:rsidRPr="00687F57" w:rsidRDefault="00013911" w:rsidP="00013911">
      <w:pPr>
        <w:spacing w:line="360" w:lineRule="auto"/>
        <w:jc w:val="both"/>
        <w:rPr>
          <w:rFonts w:asciiTheme="minorHAnsi" w:hAnsiTheme="minorHAnsi" w:cstheme="minorHAnsi"/>
          <w:bCs/>
        </w:rPr>
      </w:pPr>
      <w:r w:rsidRPr="00687F57">
        <w:rPr>
          <w:rFonts w:asciiTheme="minorHAnsi" w:hAnsiTheme="minorHAnsi" w:cstheme="minorHAnsi"/>
          <w:bCs/>
        </w:rPr>
        <w:t>Με την παρ.</w:t>
      </w:r>
      <w:r w:rsidR="00126233" w:rsidRPr="00687F57">
        <w:rPr>
          <w:rFonts w:asciiTheme="minorHAnsi" w:hAnsiTheme="minorHAnsi" w:cstheme="minorHAnsi"/>
          <w:bCs/>
        </w:rPr>
        <w:t xml:space="preserve"> </w:t>
      </w:r>
      <w:r w:rsidRPr="00687F57">
        <w:rPr>
          <w:rFonts w:asciiTheme="minorHAnsi" w:hAnsiTheme="minorHAnsi" w:cstheme="minorHAnsi"/>
          <w:bCs/>
        </w:rPr>
        <w:t xml:space="preserve">3 </w:t>
      </w:r>
      <w:r w:rsidR="00126233" w:rsidRPr="00687F57">
        <w:rPr>
          <w:rFonts w:asciiTheme="minorHAnsi" w:hAnsiTheme="minorHAnsi" w:cstheme="minorHAnsi"/>
          <w:bCs/>
        </w:rPr>
        <w:t xml:space="preserve">του προτεινόμενου άρθρου </w:t>
      </w:r>
      <w:r w:rsidRPr="00687F57">
        <w:rPr>
          <w:rFonts w:asciiTheme="minorHAnsi" w:hAnsiTheme="minorHAnsi" w:cstheme="minorHAnsi"/>
          <w:bCs/>
        </w:rPr>
        <w:t>θεσπίζεται μεταβατική διάταξη για τους παραδοσιακούς εκδοροσφαγείς</w:t>
      </w:r>
      <w:r w:rsidR="00097383" w:rsidRPr="00687F57">
        <w:rPr>
          <w:rFonts w:asciiTheme="minorHAnsi" w:hAnsiTheme="minorHAnsi" w:cstheme="minorHAnsi"/>
          <w:bCs/>
        </w:rPr>
        <w:t>, ώστε εντός δυο ετών από την έναρξη ισχύος του παρόντος νόμου, να αποκτήσουν τη βεβαίωση παραδοσιακού εκδοροσφαγέα σύμφωνα με τις διατάξεις του π.δ. 126/2000</w:t>
      </w:r>
      <w:r w:rsidR="006E3EFE" w:rsidRPr="00687F57">
        <w:rPr>
          <w:rFonts w:asciiTheme="minorHAnsi" w:hAnsiTheme="minorHAnsi" w:cstheme="minorHAnsi"/>
          <w:bCs/>
        </w:rPr>
        <w:t>,</w:t>
      </w:r>
      <w:r w:rsidR="00097383" w:rsidRPr="00687F57">
        <w:rPr>
          <w:rFonts w:asciiTheme="minorHAnsi" w:hAnsiTheme="minorHAnsi" w:cstheme="minorHAnsi"/>
          <w:bCs/>
        </w:rPr>
        <w:t xml:space="preserve"> προκειμένου να συνεχίσουν να ασκούν το επάγγελμα αυτό.</w:t>
      </w:r>
    </w:p>
    <w:p w:rsidR="0001736D" w:rsidRPr="00687F57" w:rsidRDefault="0001736D" w:rsidP="00013911">
      <w:pPr>
        <w:spacing w:line="360" w:lineRule="auto"/>
        <w:jc w:val="both"/>
        <w:rPr>
          <w:rFonts w:asciiTheme="minorHAnsi" w:hAnsiTheme="minorHAnsi" w:cstheme="minorHAnsi"/>
          <w:b/>
          <w:lang w:val="en-GB"/>
        </w:rPr>
      </w:pPr>
    </w:p>
    <w:p w:rsidR="0002236B" w:rsidRPr="00687F57" w:rsidRDefault="0002236B" w:rsidP="003917A8">
      <w:pPr>
        <w:spacing w:line="360" w:lineRule="auto"/>
        <w:rPr>
          <w:rFonts w:asciiTheme="minorHAnsi" w:hAnsiTheme="minorHAnsi" w:cstheme="minorHAnsi"/>
          <w:b/>
        </w:rPr>
      </w:pPr>
      <w:r w:rsidRPr="00687F57">
        <w:rPr>
          <w:rFonts w:asciiTheme="minorHAnsi" w:hAnsiTheme="minorHAnsi" w:cstheme="minorHAnsi"/>
          <w:b/>
        </w:rPr>
        <w:t>ΚΕΦΑΛΑΙΟ Ε΄</w:t>
      </w:r>
    </w:p>
    <w:p w:rsidR="0002236B" w:rsidRPr="00687F57" w:rsidRDefault="0002236B" w:rsidP="003917A8">
      <w:pPr>
        <w:spacing w:line="360" w:lineRule="auto"/>
        <w:rPr>
          <w:rFonts w:asciiTheme="minorHAnsi" w:hAnsiTheme="minorHAnsi" w:cstheme="minorHAnsi"/>
          <w:b/>
        </w:rPr>
      </w:pPr>
      <w:r w:rsidRPr="00687F57">
        <w:rPr>
          <w:rFonts w:asciiTheme="minorHAnsi" w:hAnsiTheme="minorHAnsi" w:cstheme="minorHAnsi"/>
          <w:b/>
        </w:rPr>
        <w:t>ΡΥΘΜΙΣΕΙΣ ΘΕΜΑΤΩΝ ΕΠΟΠΤΕΥΟΜΕΝΩΝ ΦΟΡΕΩΝ</w:t>
      </w:r>
    </w:p>
    <w:p w:rsidR="0002236B" w:rsidRPr="00687F57" w:rsidRDefault="0002236B" w:rsidP="00AE5F2A">
      <w:pPr>
        <w:spacing w:line="360" w:lineRule="auto"/>
        <w:jc w:val="both"/>
        <w:rPr>
          <w:rFonts w:asciiTheme="minorHAnsi" w:hAnsiTheme="minorHAnsi" w:cstheme="minorHAnsi"/>
          <w:color w:val="000000"/>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1</w:t>
      </w:r>
      <w:r w:rsidR="0001736D" w:rsidRPr="00687F57">
        <w:rPr>
          <w:rFonts w:asciiTheme="minorHAnsi" w:hAnsiTheme="minorHAnsi" w:cstheme="minorHAnsi"/>
          <w:b/>
          <w:bCs/>
        </w:rPr>
        <w:t>5</w:t>
      </w:r>
    </w:p>
    <w:p w:rsidR="0002236B" w:rsidRPr="00687F57" w:rsidRDefault="0002236B" w:rsidP="00687F57">
      <w:pPr>
        <w:spacing w:line="360" w:lineRule="auto"/>
        <w:rPr>
          <w:rFonts w:asciiTheme="minorHAnsi" w:hAnsiTheme="minorHAnsi" w:cstheme="minorHAnsi"/>
          <w:b/>
          <w:lang w:val="en-GB"/>
        </w:rPr>
      </w:pPr>
      <w:r w:rsidRPr="00687F57">
        <w:rPr>
          <w:rFonts w:asciiTheme="minorHAnsi" w:hAnsiTheme="minorHAnsi" w:cstheme="minorHAnsi"/>
          <w:b/>
        </w:rPr>
        <w:t>Ρυθμίσεις Οργανισμού Ελληνικών Γεωργικών Ασφαλίσεων (ΕΛ.Γ.Α.)</w:t>
      </w:r>
    </w:p>
    <w:p w:rsidR="0002236B" w:rsidRPr="00687F57" w:rsidRDefault="006C6A24" w:rsidP="003917A8">
      <w:pPr>
        <w:pStyle w:val="BodyText3"/>
        <w:spacing w:line="360" w:lineRule="auto"/>
        <w:outlineLvl w:val="0"/>
        <w:rPr>
          <w:rFonts w:asciiTheme="minorHAnsi" w:hAnsiTheme="minorHAnsi" w:cstheme="minorHAnsi"/>
          <w:b w:val="0"/>
          <w:bCs w:val="0"/>
          <w:szCs w:val="24"/>
        </w:rPr>
      </w:pPr>
      <w:r w:rsidRPr="00687F57">
        <w:rPr>
          <w:rFonts w:asciiTheme="minorHAnsi" w:hAnsiTheme="minorHAnsi" w:cstheme="minorHAnsi"/>
          <w:b w:val="0"/>
          <w:bCs w:val="0"/>
          <w:szCs w:val="24"/>
        </w:rPr>
        <w:t>Με την παρ. 1</w:t>
      </w:r>
      <w:r w:rsidR="0002236B" w:rsidRPr="00687F57">
        <w:rPr>
          <w:rFonts w:asciiTheme="minorHAnsi" w:hAnsiTheme="minorHAnsi" w:cstheme="minorHAnsi"/>
          <w:b w:val="0"/>
          <w:bCs w:val="0"/>
          <w:szCs w:val="24"/>
        </w:rPr>
        <w:t xml:space="preserve"> του προτεινόμενου άρθρου ρυθμίζονται θέματα που αφορούν τη νομική υπηρεσία του ΕΛ.Γ.Α.. Η νομική υπηρεσία του ΕΛ.Γ.Α. έχει ως έργο, μεταξύ άλλων, τη δικαστική και εξώδικη αντιμετώπιση των υποθέσεων του ΕΛ.Γ.Α. και τη γνωμοδότηση για κάθε θέμα που ανάγεται στην ερμηνεία και εφαρμογή των σχετικών με τον ΕΛ.Γ.Α. νόμων και κανονισμών μετά από ερωτήματα που τίθενται από τη διοίκηση του ΕΛ.Γ.Α. και από όλους τους προϊσταμένους των οργανικών μονάδων του ΕΛ.Γ.Α. μέσω της διοίκησης, την παροχή νομικών οδηγιών και κατευθύνσεων στις υπηρεσίες του ΕΛ.Γ.Α. για την ομοιόμορφη ερμηνεία και εφαρμογή των νόμων, κανονισμών και αποφάσεων της διοίκησης και την επεξεργασία της σχετικής νομοθεσίας και των κανονισμών του οργανισμού από νομικής άποψης και την εισήγηση για τις αναγκαίες τροποποιήσεις, συμπληρώσεις ή μεταβολές τους. </w:t>
      </w:r>
    </w:p>
    <w:p w:rsidR="0002236B" w:rsidRPr="00687F57" w:rsidRDefault="0002236B" w:rsidP="003917A8">
      <w:pPr>
        <w:pStyle w:val="BodyText3"/>
        <w:spacing w:line="360" w:lineRule="auto"/>
        <w:outlineLvl w:val="0"/>
        <w:rPr>
          <w:rFonts w:asciiTheme="minorHAnsi" w:hAnsiTheme="minorHAnsi" w:cstheme="minorHAnsi"/>
          <w:b w:val="0"/>
          <w:bCs w:val="0"/>
          <w:szCs w:val="24"/>
        </w:rPr>
      </w:pPr>
      <w:r w:rsidRPr="00687F57">
        <w:rPr>
          <w:rFonts w:asciiTheme="minorHAnsi" w:hAnsiTheme="minorHAnsi" w:cstheme="minorHAnsi"/>
          <w:b w:val="0"/>
          <w:bCs w:val="0"/>
          <w:szCs w:val="24"/>
        </w:rPr>
        <w:t xml:space="preserve">Κατά του ΕΛ.Γ.Α. ασκούνται πληθώρα αγωγών και προσφυγών ενώπιον των πολιτικών και διοικητικών δικαστηρίων, ενώ ταυτόχρονα εκκρεμούν ενώπιον των ποινικών δικαστηρίων όλης της χώρας ποινικές υποθέσεις, για τις οποίες ο ΕΛ.Γ.Α. καταθέτει δήλωση παράστασης πολιτικής αγωγής. Παράλληλα η νομική υπηρεσία, τα τελευταία έτη επιφορτίζεται διαρκώς με αυξανόμενο όγκο υπηρεσιακών θεμάτων του ΕΛ.Γ.Α., ιδίως λόγω των συχνών και ραγδαίων μεταβολών της </w:t>
      </w:r>
      <w:r w:rsidRPr="00687F57">
        <w:rPr>
          <w:rFonts w:asciiTheme="minorHAnsi" w:hAnsiTheme="minorHAnsi" w:cstheme="minorHAnsi"/>
          <w:b w:val="0"/>
          <w:bCs w:val="0"/>
          <w:szCs w:val="24"/>
        </w:rPr>
        <w:lastRenderedPageBreak/>
        <w:t>νομοθεσίας που καλούνται να εφαρμόσουν οι υπηρεσίες του ΕΛ.Γ.Α., για το σύνολο σχεδόν των οποίων απαιτ</w:t>
      </w:r>
      <w:r w:rsidR="006E3EFE" w:rsidRPr="00687F57">
        <w:rPr>
          <w:rFonts w:asciiTheme="minorHAnsi" w:hAnsiTheme="minorHAnsi" w:cstheme="minorHAnsi"/>
          <w:b w:val="0"/>
          <w:bCs w:val="0"/>
          <w:szCs w:val="24"/>
        </w:rPr>
        <w:t>ούν</w:t>
      </w:r>
      <w:r w:rsidRPr="00687F57">
        <w:rPr>
          <w:rFonts w:asciiTheme="minorHAnsi" w:hAnsiTheme="minorHAnsi" w:cstheme="minorHAnsi"/>
          <w:b w:val="0"/>
          <w:bCs w:val="0"/>
          <w:szCs w:val="24"/>
        </w:rPr>
        <w:t>ται η γνωμοδότηση και ο έλεγχος από τη νομική υπηρεσία.</w:t>
      </w:r>
    </w:p>
    <w:p w:rsidR="0002236B" w:rsidRPr="00687F57" w:rsidRDefault="0002236B" w:rsidP="003917A8">
      <w:pPr>
        <w:pStyle w:val="BodyText3"/>
        <w:spacing w:line="360" w:lineRule="auto"/>
        <w:outlineLvl w:val="0"/>
        <w:rPr>
          <w:rFonts w:asciiTheme="minorHAnsi" w:hAnsiTheme="minorHAnsi" w:cstheme="minorHAnsi"/>
          <w:b w:val="0"/>
          <w:bCs w:val="0"/>
          <w:szCs w:val="24"/>
        </w:rPr>
      </w:pPr>
      <w:r w:rsidRPr="00687F57">
        <w:rPr>
          <w:rFonts w:asciiTheme="minorHAnsi" w:hAnsiTheme="minorHAnsi" w:cstheme="minorHAnsi"/>
          <w:b w:val="0"/>
          <w:bCs w:val="0"/>
          <w:szCs w:val="24"/>
        </w:rPr>
        <w:t xml:space="preserve">Η νομική υπηρεσία του ΕΛ.Γ.Α. στελεχώνεται σήμερα μόνο από τη νομική σύμβουλο και μία (1) δικηγόρο με έμμισθη εντολή, παρόλο που ο όγκος εργασιών της νομικής υπηρεσίας του οργανισμού έχει  πολλαπλασιαστεί και το αντικείμενο εργασίας είναι ιδιαίτερα εξειδικευμένο. </w:t>
      </w:r>
    </w:p>
    <w:p w:rsidR="0002236B" w:rsidRPr="00687F57" w:rsidRDefault="00687F57" w:rsidP="003917A8">
      <w:pPr>
        <w:pStyle w:val="BodyText3"/>
        <w:spacing w:line="360" w:lineRule="auto"/>
        <w:outlineLvl w:val="0"/>
        <w:rPr>
          <w:rFonts w:asciiTheme="minorHAnsi" w:hAnsiTheme="minorHAnsi" w:cstheme="minorHAnsi"/>
          <w:b w:val="0"/>
          <w:bCs w:val="0"/>
          <w:szCs w:val="24"/>
        </w:rPr>
      </w:pPr>
      <w:r>
        <w:rPr>
          <w:rFonts w:asciiTheme="minorHAnsi" w:hAnsiTheme="minorHAnsi" w:cstheme="minorHAnsi"/>
          <w:b w:val="0"/>
          <w:bCs w:val="0"/>
          <w:szCs w:val="24"/>
        </w:rPr>
        <w:t xml:space="preserve">Κατόπιν των ανωτέρω, </w:t>
      </w:r>
      <w:r w:rsidR="0002236B" w:rsidRPr="00687F57">
        <w:rPr>
          <w:rFonts w:asciiTheme="minorHAnsi" w:hAnsiTheme="minorHAnsi" w:cstheme="minorHAnsi"/>
          <w:b w:val="0"/>
          <w:bCs w:val="0"/>
          <w:szCs w:val="24"/>
        </w:rPr>
        <w:t xml:space="preserve">κρίνεται απαραίτητη η σύσταση δύο (2) επιπλέον θέσεων δικηγόρων με έμμισθη εντολή. Η δαπάνη, τέλος, που θα προκύψει από την πρόσληψη των δικηγόρων θα βαρύνει αποκλειστικά τους ίδιους πόρους του ΕΛ.Γ.Α.. </w:t>
      </w:r>
    </w:p>
    <w:p w:rsidR="0002236B" w:rsidRPr="00687F57" w:rsidRDefault="006C6A24" w:rsidP="003917A8">
      <w:pPr>
        <w:pStyle w:val="BodyText3"/>
        <w:spacing w:line="360" w:lineRule="auto"/>
        <w:outlineLvl w:val="0"/>
        <w:rPr>
          <w:rFonts w:asciiTheme="minorHAnsi" w:hAnsiTheme="minorHAnsi" w:cstheme="minorHAnsi"/>
          <w:b w:val="0"/>
          <w:bCs w:val="0"/>
          <w:szCs w:val="24"/>
        </w:rPr>
      </w:pPr>
      <w:r w:rsidRPr="00687F57">
        <w:rPr>
          <w:rFonts w:asciiTheme="minorHAnsi" w:hAnsiTheme="minorHAnsi" w:cstheme="minorHAnsi"/>
          <w:b w:val="0"/>
          <w:szCs w:val="24"/>
        </w:rPr>
        <w:t>Με την παρ. 2</w:t>
      </w:r>
      <w:r w:rsidR="0002236B" w:rsidRPr="00687F57">
        <w:rPr>
          <w:rFonts w:asciiTheme="minorHAnsi" w:hAnsiTheme="minorHAnsi" w:cstheme="minorHAnsi"/>
          <w:b w:val="0"/>
          <w:szCs w:val="24"/>
        </w:rPr>
        <w:t xml:space="preserve"> του προτει</w:t>
      </w:r>
      <w:r w:rsidR="00687F57">
        <w:rPr>
          <w:rFonts w:asciiTheme="minorHAnsi" w:hAnsiTheme="minorHAnsi" w:cstheme="minorHAnsi"/>
          <w:b w:val="0"/>
          <w:szCs w:val="24"/>
        </w:rPr>
        <w:t xml:space="preserve">νόμενου άρθρου εξορθολογίζεται </w:t>
      </w:r>
      <w:r w:rsidR="0002236B" w:rsidRPr="00687F57">
        <w:rPr>
          <w:rFonts w:asciiTheme="minorHAnsi" w:hAnsiTheme="minorHAnsi" w:cstheme="minorHAnsi"/>
          <w:b w:val="0"/>
          <w:szCs w:val="24"/>
        </w:rPr>
        <w:t xml:space="preserve">και εξομοιώνεται η νομοθεσία, όσον αφορά την μη υποχρέωση σε αναστολή του δικηγορικού επαγγέλματος ή άλλου ελεύθερου επαγγέλματος, σε περίπτωση που απασχοληθεί σε θέση ειδικού συμβούλου στο γραφείο Προέδρου του ΕΛ.Γ.Α. με σχέση εργασίας ιδιωτικού δικαίου δικηγόρος ή άλλος ελεύθερος επαγγελματίας, αντίστοιχα. </w:t>
      </w:r>
      <w:r w:rsidR="006E3EFE" w:rsidRPr="00687F57">
        <w:rPr>
          <w:rFonts w:asciiTheme="minorHAnsi" w:hAnsiTheme="minorHAnsi" w:cstheme="minorHAnsi"/>
          <w:b w:val="0"/>
          <w:szCs w:val="24"/>
        </w:rPr>
        <w:t xml:space="preserve">Η προτεινόμενη διάταξη εναρμονίζεται προς τα ισχύοντα </w:t>
      </w:r>
      <w:r w:rsidR="0002236B" w:rsidRPr="00687F57">
        <w:rPr>
          <w:rFonts w:asciiTheme="minorHAnsi" w:hAnsiTheme="minorHAnsi" w:cstheme="minorHAnsi"/>
          <w:b w:val="0"/>
          <w:szCs w:val="24"/>
        </w:rPr>
        <w:t xml:space="preserve">για τις θέσεις ειδικών συμβούλων σε </w:t>
      </w:r>
      <w:r w:rsidR="006E3EFE" w:rsidRPr="00687F57">
        <w:rPr>
          <w:rFonts w:asciiTheme="minorHAnsi" w:hAnsiTheme="minorHAnsi" w:cstheme="minorHAnsi"/>
          <w:b w:val="0"/>
          <w:szCs w:val="24"/>
        </w:rPr>
        <w:t>ιδιαίτερα</w:t>
      </w:r>
      <w:r w:rsidR="0002236B" w:rsidRPr="00687F57">
        <w:rPr>
          <w:rFonts w:asciiTheme="minorHAnsi" w:hAnsiTheme="minorHAnsi" w:cstheme="minorHAnsi"/>
          <w:b w:val="0"/>
          <w:szCs w:val="24"/>
        </w:rPr>
        <w:t xml:space="preserve"> γραφεία Υπουργών, Γενικών Γραμματέων κ.ο.κ..</w:t>
      </w:r>
    </w:p>
    <w:p w:rsidR="00060EFD" w:rsidRPr="00687F57" w:rsidRDefault="00060EFD" w:rsidP="003917A8">
      <w:pPr>
        <w:pStyle w:val="NormalWeb"/>
        <w:spacing w:line="360" w:lineRule="auto"/>
        <w:jc w:val="both"/>
        <w:rPr>
          <w:rFonts w:asciiTheme="minorHAnsi" w:hAnsiTheme="minorHAnsi" w:cstheme="minorHAnsi"/>
        </w:rPr>
      </w:pPr>
    </w:p>
    <w:p w:rsidR="00085297"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1</w:t>
      </w:r>
      <w:r w:rsidR="0001736D" w:rsidRPr="00687F57">
        <w:rPr>
          <w:rFonts w:asciiTheme="minorHAnsi" w:hAnsiTheme="minorHAnsi" w:cstheme="minorHAnsi"/>
          <w:b/>
          <w:bCs/>
        </w:rPr>
        <w:t>6</w:t>
      </w:r>
    </w:p>
    <w:p w:rsidR="0002236B" w:rsidRPr="00687F57" w:rsidRDefault="0002236B" w:rsidP="00687F57">
      <w:pPr>
        <w:spacing w:line="360" w:lineRule="auto"/>
        <w:rPr>
          <w:rFonts w:asciiTheme="minorHAnsi" w:hAnsiTheme="minorHAnsi" w:cstheme="minorHAnsi"/>
          <w:b/>
          <w:lang w:val="en-GB"/>
        </w:rPr>
      </w:pPr>
      <w:r w:rsidRPr="00687F57">
        <w:rPr>
          <w:rFonts w:asciiTheme="minorHAnsi" w:hAnsiTheme="minorHAnsi" w:cstheme="minorHAnsi"/>
          <w:b/>
          <w:bCs/>
        </w:rPr>
        <w:t>Ρυθμίσεις Γεωτεχνικού Επιμελητηρίου Ελλάδος (</w:t>
      </w:r>
      <w:r w:rsidRPr="00687F57">
        <w:rPr>
          <w:rFonts w:asciiTheme="minorHAnsi" w:hAnsiTheme="minorHAnsi" w:cstheme="minorHAnsi"/>
          <w:b/>
        </w:rPr>
        <w:t>ΓΕΩΤ.Ε.Ε.)</w:t>
      </w:r>
    </w:p>
    <w:p w:rsidR="0002236B" w:rsidRPr="00687F57" w:rsidRDefault="00687F57" w:rsidP="003917A8">
      <w:pPr>
        <w:spacing w:line="360" w:lineRule="auto"/>
        <w:jc w:val="both"/>
        <w:rPr>
          <w:rFonts w:asciiTheme="minorHAnsi" w:hAnsiTheme="minorHAnsi" w:cstheme="minorHAnsi"/>
        </w:rPr>
      </w:pPr>
      <w:r>
        <w:rPr>
          <w:rFonts w:asciiTheme="minorHAnsi" w:hAnsiTheme="minorHAnsi" w:cstheme="minorHAnsi"/>
        </w:rPr>
        <w:t xml:space="preserve">1. Με την περ. α΄ της </w:t>
      </w:r>
      <w:r w:rsidR="0002236B" w:rsidRPr="00687F57">
        <w:rPr>
          <w:rFonts w:asciiTheme="minorHAnsi" w:hAnsiTheme="minorHAnsi" w:cstheme="minorHAnsi"/>
        </w:rPr>
        <w:t>παρ. 1 του προτεινόμενου άρθρου αντικαθίσταται η παρ. 3 του άρθρου 6 του ν. 1474/1984</w:t>
      </w:r>
      <w:r w:rsidR="006E3EFE" w:rsidRPr="00687F57">
        <w:rPr>
          <w:rFonts w:asciiTheme="minorHAnsi" w:hAnsiTheme="minorHAnsi" w:cstheme="minorHAnsi"/>
        </w:rPr>
        <w:t>,</w:t>
      </w:r>
      <w:r w:rsidR="0002236B" w:rsidRPr="00687F57">
        <w:rPr>
          <w:rFonts w:asciiTheme="minorHAnsi" w:hAnsiTheme="minorHAnsi" w:cstheme="minorHAnsi"/>
        </w:rPr>
        <w:t xml:space="preserve"> προκειμένου να επανακαθορισθεί ο χρόνος διενέργειας των εκλογών για την ανάδειξη των οργάνων διοίκησης του Γεωτεχνικού Επιμελητηρίου της Ελλάδας (ΓΕΩΤ.Ε.Ε.), ήτοι του Διοικητικού Συμβουλίου, των Διοικουσών Επιτροπών των περιφερειακών παραρτημάτων, της Γενικής Συνέλευσης των Αντιπροσώπων των κλάδων και των Συνελεύσεων αντιπροσώπων των περιφερειακών παραρτημάτων,  σε τέσσερα (4) χρόνια, αντί για τρία (3) που ισχύει σήμερα.</w:t>
      </w:r>
    </w:p>
    <w:p w:rsidR="0002236B" w:rsidRPr="00687F57" w:rsidRDefault="0002236B" w:rsidP="003917A8">
      <w:pPr>
        <w:spacing w:line="360" w:lineRule="auto"/>
        <w:jc w:val="both"/>
        <w:rPr>
          <w:rFonts w:asciiTheme="minorHAnsi" w:hAnsiTheme="minorHAnsi" w:cstheme="minorHAnsi"/>
        </w:rPr>
      </w:pPr>
      <w:r w:rsidRPr="00687F57">
        <w:rPr>
          <w:rFonts w:asciiTheme="minorHAnsi" w:hAnsiTheme="minorHAnsi" w:cstheme="minorHAnsi"/>
        </w:rPr>
        <w:t xml:space="preserve">Με τη συγκεκριμένη τροποποίηση εναρμονίζεται η θητεία των μελών των οργάνων διοίκησης του ΓΕΩΤ.Ε.Ε. της προηγούμενης παραγράφου με τις διατάξεις του ν. 4635/2019 (Α΄ 167) και ιδιαίτερα με τα άρθρα 222 και 223, σύμφωνα με τα οποία η </w:t>
      </w:r>
      <w:r w:rsidRPr="00687F57">
        <w:rPr>
          <w:rFonts w:asciiTheme="minorHAnsi" w:hAnsiTheme="minorHAnsi" w:cstheme="minorHAnsi"/>
        </w:rPr>
        <w:lastRenderedPageBreak/>
        <w:t>θητεία των οργάνων διοίκησης του Τεχνικού Επιμελητηρίου Ελλάδας (ΤΕΕ)</w:t>
      </w:r>
      <w:r w:rsidR="006E3EFE" w:rsidRPr="00687F57">
        <w:rPr>
          <w:rFonts w:asciiTheme="minorHAnsi" w:hAnsiTheme="minorHAnsi" w:cstheme="minorHAnsi"/>
        </w:rPr>
        <w:t>,</w:t>
      </w:r>
      <w:r w:rsidRPr="00687F57">
        <w:rPr>
          <w:rFonts w:asciiTheme="minorHAnsi" w:hAnsiTheme="minorHAnsi" w:cstheme="minorHAnsi"/>
        </w:rPr>
        <w:t xml:space="preserve"> καθώς και του Οικονομικού Επιμελητηρίου Ελλάδας (ΟΕΕ), γίνεται τετραετής. Επιπλέον, δίνεται η δυνατότητα σε όλα τα όργανα διοίκησης να κάνουν αρτιότερο μακροπρόθεσμο σχεδιασμό δραστηριοτήτων και να διαθέτουν ικανά χρονικά περιθώρια υλοποίησης του προγραμματισμό τους. </w:t>
      </w:r>
    </w:p>
    <w:p w:rsidR="0002236B" w:rsidRPr="00687F57" w:rsidRDefault="0002236B" w:rsidP="003917A8">
      <w:pPr>
        <w:spacing w:line="360" w:lineRule="auto"/>
        <w:jc w:val="both"/>
        <w:rPr>
          <w:rFonts w:asciiTheme="minorHAnsi" w:hAnsiTheme="minorHAnsi" w:cstheme="minorHAnsi"/>
        </w:rPr>
      </w:pPr>
      <w:r w:rsidRPr="00687F57">
        <w:rPr>
          <w:rFonts w:asciiTheme="minorHAnsi" w:hAnsiTheme="minorHAnsi" w:cstheme="minorHAnsi"/>
        </w:rPr>
        <w:t>Με την περ. β΄ της παρ. 1 του προτεινόμενου άρθρου προστίθεται παρ. 6 στο άρθρο 6 του ν. 1484/1974, προκειμένου: α) να τροποποιηθεί η θητεία των οργάνων του ΓΕΩΤ.Ε.Ε από τριετής σε τετραετής, καθώς και να τροποποιηθεί ο χρόνος διενέργειας εκλογών για την ανάδειξη των ανωτέρω οργάνων από τρία (3) σε τέσσερα (4) έτη. Σημειώνεται ότι οι διατάξεις του ν. 1474/1984 στις οποίες προβλέπεται τριετής θητεία των οργάνων ή διενέργεια εκλογών κάθε τρία (3) χρόνια είναι οι ακόλουθες: α) η παρ. 2 του άρθρου 7, β) η παρ. 2 και η παρ. 6 του άρθρου 8, γ) η παρ. 1 και η παρ. 2 του άρθρου 10, δ) η παρ. 2 και η παρ. 3 του άρθρου 11 και ε) η παρ. 1 του άρθρου 12,</w:t>
      </w:r>
    </w:p>
    <w:p w:rsidR="0002236B" w:rsidRPr="00687F57" w:rsidRDefault="0002236B" w:rsidP="003917A8">
      <w:pPr>
        <w:spacing w:line="360" w:lineRule="auto"/>
        <w:jc w:val="both"/>
        <w:rPr>
          <w:rFonts w:asciiTheme="minorHAnsi" w:hAnsiTheme="minorHAnsi" w:cstheme="minorHAnsi"/>
        </w:rPr>
      </w:pPr>
      <w:r w:rsidRPr="00687F57">
        <w:rPr>
          <w:rFonts w:asciiTheme="minorHAnsi" w:hAnsiTheme="minorHAnsi" w:cstheme="minorHAnsi"/>
        </w:rPr>
        <w:t>β) να αποσαφηνισθεί ότι οι επόμενες αρχαιρεσίες για την ανάδειξη των μελών των οργάνων διοίκησης του Επιμελητηρίου που έχουν εκλεγεί με τις αρχαιρεσίες της 22.4.2018, θα πραγματοποιηθούν κατά το χρονικό διάστημα από την 1</w:t>
      </w:r>
      <w:r w:rsidR="006B0582" w:rsidRPr="00687F57">
        <w:rPr>
          <w:rFonts w:asciiTheme="minorHAnsi" w:hAnsiTheme="minorHAnsi" w:cstheme="minorHAnsi"/>
        </w:rPr>
        <w:t>η</w:t>
      </w:r>
      <w:r w:rsidRPr="00687F57">
        <w:rPr>
          <w:rFonts w:asciiTheme="minorHAnsi" w:hAnsiTheme="minorHAnsi" w:cstheme="minorHAnsi"/>
        </w:rPr>
        <w:t>.10.2022 έως και τις 31.12.2022 και ότι η θητεία των μελών όλων των οργάνων του ΓΕΩ.Τ.Ε.Ε. θα παραταθεί μέχρι την εκλογή νέων μελών, σύμφωνα με την παράγραφο αυτή.</w:t>
      </w:r>
    </w:p>
    <w:p w:rsidR="0002236B" w:rsidRPr="00687F57" w:rsidRDefault="0002236B" w:rsidP="003917A8">
      <w:pPr>
        <w:spacing w:line="360" w:lineRule="auto"/>
        <w:jc w:val="both"/>
        <w:rPr>
          <w:rFonts w:asciiTheme="minorHAnsi" w:hAnsiTheme="minorHAnsi" w:cstheme="minorHAnsi"/>
        </w:rPr>
      </w:pPr>
      <w:r w:rsidRPr="00687F57">
        <w:rPr>
          <w:rFonts w:asciiTheme="minorHAnsi" w:hAnsiTheme="minorHAnsi" w:cstheme="minorHAnsi"/>
        </w:rPr>
        <w:t>2. Με την παρ. 2 του προτεινόμενου άρθρου αντικαθίσταται το τελευταίο εδάφιο της περ. β΄ της παρ. 1 του άρθρου 13 του ν. 1474/1984 προκειμένου να επαναπροσδιοριστεί το όργανο το οποίο εισηγείται το ύψος της ετήσιας συνδρομής και του δικαιώματος εγγραφής στο ΓΕΩΤ.Ε.Ε.. Συγκεκριμένα ορίζεται ως αρμόδιο για τη λήψη της εν λόγω απόφασης το Διοικητικό Συμβούλιο (Δ.Σ.)</w:t>
      </w:r>
      <w:r w:rsidR="0018396E" w:rsidRPr="00687F57">
        <w:rPr>
          <w:rFonts w:asciiTheme="minorHAnsi" w:hAnsiTheme="minorHAnsi" w:cstheme="minorHAnsi"/>
        </w:rPr>
        <w:t>,</w:t>
      </w:r>
      <w:r w:rsidRPr="00687F57">
        <w:rPr>
          <w:rFonts w:asciiTheme="minorHAnsi" w:hAnsiTheme="minorHAnsi" w:cstheme="minorHAnsi"/>
        </w:rPr>
        <w:t xml:space="preserve"> αντί της Γενικής Συνέλευσης των Αντιπροσώπων που ισχύει σήμερα. </w:t>
      </w:r>
    </w:p>
    <w:p w:rsidR="0002236B" w:rsidRPr="00687F57" w:rsidRDefault="0002236B" w:rsidP="003917A8">
      <w:pPr>
        <w:spacing w:line="360" w:lineRule="auto"/>
        <w:jc w:val="both"/>
        <w:rPr>
          <w:rFonts w:asciiTheme="minorHAnsi" w:hAnsiTheme="minorHAnsi" w:cstheme="minorHAnsi"/>
        </w:rPr>
      </w:pPr>
      <w:r w:rsidRPr="00687F57">
        <w:rPr>
          <w:rFonts w:asciiTheme="minorHAnsi" w:hAnsiTheme="minorHAnsi" w:cstheme="minorHAnsi"/>
        </w:rPr>
        <w:t>Η προτεινόμενη τροποποίηση κρίνεται αναγκαία διότι η Γενική Συνέλευση, λόγω του αριθμού των μελών της (περισσότερα από 1.100), είναι όργανο δυσλειτουργικό και οι συνεδριάσεις του συνεπάγονται μεγάλο κόστος για το Επιμελητήριο ενώ το χαμηλό κόστος λειτουργίας του Δ.Σ. που αποτελείται από 15 μέλη, το γεγονός ότι σε αυτό συμμετέχουν μέλη από όλους τους κλάδους του Επιμελητηρίου, καθώς και η καθημερινή σχεδόν ενασχόληση των μελών</w:t>
      </w:r>
      <w:r w:rsidR="0018396E" w:rsidRPr="00687F57">
        <w:rPr>
          <w:rFonts w:asciiTheme="minorHAnsi" w:hAnsiTheme="minorHAnsi" w:cstheme="minorHAnsi"/>
        </w:rPr>
        <w:t xml:space="preserve"> </w:t>
      </w:r>
      <w:r w:rsidRPr="00687F57">
        <w:rPr>
          <w:rFonts w:asciiTheme="minorHAnsi" w:hAnsiTheme="minorHAnsi" w:cstheme="minorHAnsi"/>
        </w:rPr>
        <w:t xml:space="preserve">με τα θέματα του Επιμελητηρίου, που τους επιτρέπει να έχουν ολοκληρωμένη εικόνα για τις ανάγκες, τις δυνατότητες και </w:t>
      </w:r>
      <w:r w:rsidRPr="00687F57">
        <w:rPr>
          <w:rFonts w:asciiTheme="minorHAnsi" w:hAnsiTheme="minorHAnsi" w:cstheme="minorHAnsi"/>
        </w:rPr>
        <w:lastRenderedPageBreak/>
        <w:t xml:space="preserve">τις υποχρεώσεις του, τα καθιστά τα πλέον κατάλληλα για τη λήψη της παρούσας απόφασης, καθώς μπορούν να εκτιμήσουν την αναγκαιότητα ή όχι της </w:t>
      </w:r>
      <w:r w:rsidR="006B0582" w:rsidRPr="00687F57">
        <w:rPr>
          <w:rFonts w:asciiTheme="minorHAnsi" w:hAnsiTheme="minorHAnsi" w:cstheme="minorHAnsi"/>
        </w:rPr>
        <w:t xml:space="preserve">αναπροσαρμογής </w:t>
      </w:r>
      <w:r w:rsidRPr="00687F57">
        <w:rPr>
          <w:rFonts w:asciiTheme="minorHAnsi" w:hAnsiTheme="minorHAnsi" w:cstheme="minorHAnsi"/>
        </w:rPr>
        <w:t>του δικαιώματος εγγραφής ή του ύψους της συνδρομής στο Επιμελητήριο. Με τον τρόπο αυτό εξασφαλίζ</w:t>
      </w:r>
      <w:r w:rsidR="006B0582" w:rsidRPr="00687F57">
        <w:rPr>
          <w:rFonts w:asciiTheme="minorHAnsi" w:hAnsiTheme="minorHAnsi" w:cstheme="minorHAnsi"/>
        </w:rPr>
        <w:t>ον</w:t>
      </w:r>
      <w:r w:rsidRPr="00687F57">
        <w:rPr>
          <w:rFonts w:asciiTheme="minorHAnsi" w:hAnsiTheme="minorHAnsi" w:cstheme="minorHAnsi"/>
        </w:rPr>
        <w:t>ται η οικονομική βιωσιμότητα και η εύρυθμη λειτουργία του ΓΕΩΤ.Ε.Ε. και η εκπλήρωση συγκεκριμένων υποχρεώσεων προς την πολιτεία, τους πολίτες και τους γεωτεχνικούς.</w:t>
      </w:r>
    </w:p>
    <w:p w:rsidR="0002236B" w:rsidRPr="00687F57" w:rsidRDefault="0002236B" w:rsidP="003917A8">
      <w:pPr>
        <w:spacing w:line="360" w:lineRule="auto"/>
        <w:jc w:val="both"/>
        <w:rPr>
          <w:rFonts w:asciiTheme="minorHAnsi" w:hAnsiTheme="minorHAnsi" w:cstheme="minorHAnsi"/>
        </w:rPr>
      </w:pPr>
      <w:r w:rsidRPr="00687F57">
        <w:rPr>
          <w:rFonts w:asciiTheme="minorHAnsi" w:hAnsiTheme="minorHAnsi" w:cstheme="minorHAnsi"/>
        </w:rPr>
        <w:t xml:space="preserve">3. Με την παρ. 3 του προτεινόμενου άρθρου αντικαθίσταται η παρ. 1 και </w:t>
      </w:r>
      <w:r w:rsidRPr="00687F57">
        <w:rPr>
          <w:rFonts w:asciiTheme="minorHAnsi" w:hAnsiTheme="minorHAnsi" w:cstheme="minorHAnsi"/>
          <w:color w:val="0D0D0D"/>
        </w:rPr>
        <w:t>καταργείται η παρ.</w:t>
      </w:r>
      <w:r w:rsidRPr="00687F57">
        <w:rPr>
          <w:rFonts w:asciiTheme="minorHAnsi" w:hAnsiTheme="minorHAnsi" w:cstheme="minorHAnsi"/>
        </w:rPr>
        <w:t xml:space="preserve"> 2 του άρθρου 18 του ν. 1474/1984</w:t>
      </w:r>
      <w:r w:rsidR="006B0582" w:rsidRPr="00687F57">
        <w:rPr>
          <w:rFonts w:asciiTheme="minorHAnsi" w:hAnsiTheme="minorHAnsi" w:cstheme="minorHAnsi"/>
        </w:rPr>
        <w:t>,</w:t>
      </w:r>
      <w:r w:rsidRPr="00687F57">
        <w:rPr>
          <w:rFonts w:asciiTheme="minorHAnsi" w:hAnsiTheme="minorHAnsi" w:cstheme="minorHAnsi"/>
        </w:rPr>
        <w:t xml:space="preserve"> προκειμένου να επαναπροσδιοριστεί το όργανο που εισηγείται τον τρόπο και τις διαδικασίες με τις οποίες αναγνωρίζονται και καταβάλλονται τα έξοδα παράστασης στα μέλη του Διοικητικού Συμβουλίου (Δ.Σ.) και των Διοικουσών Επιτροπών (Δ.Ε.) του ΓΕΩΤ.Ε.Ε. Πιο συγκεκριμένα, σύμφωνα με τις διατάξεις των παρ. 1 και 2 του άρθρου 18 του ν. 1474/1984, περιλαμβάνονται στους δικαιούχους εξόδων παράστασης και τα μέλη του Δ.Σ. και των Δ.Ε. των περιφερειακών παραρτημάτων του ΓΕΩΤ.Ε.Ε., ενώ ορίζεται η Γενική Συνέλευση ως το όργανο που προτείνει προς τους Υπουργούς Οικονομικών και Αγροτικής Ανάπτυξης και Τροφίμων, το ύψος των εξόδων παράστασης που καταβάλλονται στους ως άνω δικαιούχους. Με την προτεινόμενη τροποποίηση</w:t>
      </w:r>
      <w:r w:rsidR="006B0582" w:rsidRPr="00687F57">
        <w:rPr>
          <w:rFonts w:asciiTheme="minorHAnsi" w:hAnsiTheme="minorHAnsi" w:cstheme="minorHAnsi"/>
        </w:rPr>
        <w:t>,</w:t>
      </w:r>
      <w:r w:rsidRPr="00687F57">
        <w:rPr>
          <w:rFonts w:asciiTheme="minorHAnsi" w:hAnsiTheme="minorHAnsi" w:cstheme="minorHAnsi"/>
        </w:rPr>
        <w:t xml:space="preserve"> αντί της Γενικής Συνέλευσης, ορίζεται αρμόδιο όργανο για την παραπάνω πρόταση το Συντονιστικό Συμβούλιο (Σ.Σ.), ενώ ταυτόχρονα προβλέπεται ότι δικαιούχοι εξόδων παράστασης είναι μόνο ο Πρόεδρος, οι Αντιπρόεδροι Α΄ και Β΄, ο Γενικός Γραμματέας, ο Οργανωτικός Γραμματέας και ο Ταμίας του Δ.Σ. του ΓΕΩΤ.Ε.Ε., καθώς και οι Πρόεδροι των Δ.Ε. των περιφερειακών παραρτημάτων.</w:t>
      </w:r>
    </w:p>
    <w:p w:rsidR="0002236B" w:rsidRPr="00687F57" w:rsidRDefault="0002236B" w:rsidP="003917A8">
      <w:pPr>
        <w:spacing w:line="360" w:lineRule="auto"/>
        <w:jc w:val="both"/>
        <w:rPr>
          <w:rFonts w:asciiTheme="minorHAnsi" w:hAnsiTheme="minorHAnsi" w:cstheme="minorHAnsi"/>
        </w:rPr>
      </w:pPr>
      <w:r w:rsidRPr="00687F57">
        <w:rPr>
          <w:rFonts w:asciiTheme="minorHAnsi" w:hAnsiTheme="minorHAnsi" w:cstheme="minorHAnsi"/>
        </w:rPr>
        <w:t>Η προτεινόμενη τροποποίηση κρίνεται αναγκαία διότι:</w:t>
      </w:r>
    </w:p>
    <w:p w:rsidR="0002236B" w:rsidRPr="00687F57" w:rsidRDefault="0002236B" w:rsidP="003917A8">
      <w:pPr>
        <w:spacing w:line="360" w:lineRule="auto"/>
        <w:jc w:val="both"/>
        <w:rPr>
          <w:rFonts w:asciiTheme="minorHAnsi" w:hAnsiTheme="minorHAnsi" w:cstheme="minorHAnsi"/>
        </w:rPr>
      </w:pPr>
      <w:r w:rsidRPr="00687F57">
        <w:rPr>
          <w:rFonts w:asciiTheme="minorHAnsi" w:hAnsiTheme="minorHAnsi" w:cstheme="minorHAnsi"/>
        </w:rPr>
        <w:t xml:space="preserve">α) Η Γενική Συνέλευση, λόγω του αριθμού των μελών της (περισσότερα από 1.100), είναι όργανο δυσλειτουργικό και οι συνεδριάσεις του συνεπάγονται μεγάλο κόστος για το ΓΕΩΤ.Ε.Ε.. Αυτός άλλωστε είναι και ο λόγος, σε συνδυασμό και με τους περιορισμένους διαθέσιμους οικονομικούς πόρους του ΓΕΩΤ.Ε.Ε., που τα τελευταία χρόνια έχει ατονήσει η λειτουργία της. Αντίθετα, το Σ.Σ. αποτελεί μικρότερο όργανο (45 μέλη), συγκαλείται τακτικά δύο φορές το χρόνο και σ’ αυτό συμμετέχουν τόσο τα μέλη του Δ.Σ., όσο και μέλη όλων των Διοικουσών Επιτροπών των περιφερειακών παραρτημάτων του ΓΕΩΤ.Ε.Ε.. Κατά συνέπεια, διαθέτει ευρεία αντιπροσώπευση και άρα μπορεί να προβεί στη λήψη αποφάσεων που αφορούν τόσο τα μέλη του Δ.Σ. </w:t>
      </w:r>
      <w:r w:rsidRPr="00687F57">
        <w:rPr>
          <w:rFonts w:asciiTheme="minorHAnsi" w:hAnsiTheme="minorHAnsi" w:cstheme="minorHAnsi"/>
        </w:rPr>
        <w:lastRenderedPageBreak/>
        <w:t xml:space="preserve">όσο και τα μέλη των Δ.Ε. του ΓΕΩΤ.Ε.Ε., το δε κόστος σύγκλησής του, λόγω του μικρού αριθμού μελών, είναι μικρότερο συγκριτικά με το αντίστοιχο κόστος σύγκλησης της Γενικής Συνέλευσης. Η τακτικότητα των συνεδριάσεων, το χαμηλό κόστος λειτουργίας, αλλά και η ευρεία, σχετικά, αντιπροσώπευση που διαθέτει, καθιστούν το Σ.Σ. το πλέον κατάλληλο όργανο για να προτείνει το ύψος των εξόδων παράστασης των μελών του Δ.Σ. και των Δ.Ε. του ΓΕΩΤ.Ε.Ε.. Κατά συνέπεια, εξασφαλίζεται η αντιμετώπιση ζητημάτων που προκύπτουν και παραμένουν άλυτα επί σειρά ετών ενώ εξασφαλίζεται η αντιπροσώπευση των κλάδων μειώνοντας ταυτόχρονα τις πιθανότητες αυθαιρεσιών.  </w:t>
      </w:r>
    </w:p>
    <w:p w:rsidR="0002236B" w:rsidRPr="00687F57" w:rsidRDefault="0002236B" w:rsidP="003917A8">
      <w:pPr>
        <w:spacing w:line="360" w:lineRule="auto"/>
        <w:jc w:val="both"/>
        <w:rPr>
          <w:rFonts w:asciiTheme="minorHAnsi" w:hAnsiTheme="minorHAnsi" w:cstheme="minorHAnsi"/>
        </w:rPr>
      </w:pPr>
      <w:r w:rsidRPr="00687F57">
        <w:rPr>
          <w:rFonts w:asciiTheme="minorHAnsi" w:hAnsiTheme="minorHAnsi" w:cstheme="minorHAnsi"/>
        </w:rPr>
        <w:t>β) Οι περιορισμένες οικονομικές δυνατότητες του ΓΕΩΤ.Ε.Ε., δεν επιτρέπουν την καταβολή εξόδων παράστασης στο σύνολο των μελών του Δ.Σ και των Δ.Ε. του Επιμελητηρίου. Λαμβανομένου, όμως, υπόψιν ότι τα εν λόγω έξοδα βοηθούν σημαντικά την προώθηση των σκοπών και στόχων του Επιμελητηρίου και την καλύτερη προβολή του έργου του, προτείνεται η καταβολή εξόδων παράστασης μόνο στον Πρόεδρο, στους Αντιπροέδρους Α΄ και Β΄, στον Γενικό Γραμματέα, στον Οργανωτικό Γραμματέα και στον Ταμία του Δ.Σ. του ΓΕΩΤ.Ε.Ε., καθώς και στους Προέδρους των Δ.Ε. των περιφερειακών παραρτημάτων, κόστος το οποίο εκτιμάται ότι, στην παρούσα φάση, μπορεί να αντιμετωπιστεί από το Επιμελητήριο.</w:t>
      </w:r>
    </w:p>
    <w:p w:rsidR="0026060E" w:rsidRPr="00687F57" w:rsidRDefault="0026060E" w:rsidP="003917A8">
      <w:pPr>
        <w:spacing w:line="360" w:lineRule="auto"/>
        <w:rPr>
          <w:rFonts w:asciiTheme="minorHAnsi" w:hAnsiTheme="minorHAnsi" w:cstheme="minorHAnsi"/>
          <w:b/>
          <w:bCs/>
          <w:color w:val="FF0000"/>
          <w:lang w:val="en-GB"/>
        </w:rPr>
      </w:pPr>
    </w:p>
    <w:p w:rsidR="0002236B" w:rsidRPr="00687F57" w:rsidRDefault="0002236B" w:rsidP="003917A8">
      <w:pPr>
        <w:spacing w:line="360" w:lineRule="auto"/>
        <w:rPr>
          <w:rFonts w:asciiTheme="minorHAnsi" w:hAnsiTheme="minorHAnsi" w:cstheme="minorHAnsi"/>
          <w:b/>
          <w:bCs/>
        </w:rPr>
      </w:pPr>
      <w:r w:rsidRPr="00687F57">
        <w:rPr>
          <w:rFonts w:asciiTheme="minorHAnsi" w:hAnsiTheme="minorHAnsi" w:cstheme="minorHAnsi"/>
          <w:b/>
          <w:bCs/>
        </w:rPr>
        <w:t>ΚΕΦΑΛΑΙΟ ΣΤ΄</w:t>
      </w:r>
    </w:p>
    <w:p w:rsidR="0002236B" w:rsidRPr="00687F57" w:rsidRDefault="0002236B" w:rsidP="007B7F97">
      <w:pPr>
        <w:spacing w:line="360" w:lineRule="auto"/>
        <w:rPr>
          <w:rFonts w:asciiTheme="minorHAnsi" w:hAnsiTheme="minorHAnsi" w:cstheme="minorHAnsi"/>
          <w:b/>
        </w:rPr>
      </w:pPr>
      <w:r w:rsidRPr="00687F57">
        <w:rPr>
          <w:rFonts w:asciiTheme="minorHAnsi" w:hAnsiTheme="minorHAnsi" w:cstheme="minorHAnsi"/>
          <w:b/>
        </w:rPr>
        <w:t xml:space="preserve">ΟΙΚΟΝΟΜΙΚΕΣ ΚΑΙ ΛΟΙΠΕΣ ΡΥΘΜΙΣΕΙΣ  </w:t>
      </w:r>
    </w:p>
    <w:p w:rsidR="0002236B" w:rsidRPr="00687F57" w:rsidRDefault="0002236B" w:rsidP="007B7F97">
      <w:pPr>
        <w:spacing w:line="360" w:lineRule="auto"/>
        <w:rPr>
          <w:rFonts w:asciiTheme="minorHAnsi" w:hAnsiTheme="minorHAnsi" w:cstheme="minorHAnsi"/>
          <w:b/>
          <w:bCs/>
        </w:rPr>
      </w:pPr>
    </w:p>
    <w:p w:rsidR="0002236B" w:rsidRPr="00687F57" w:rsidRDefault="0002236B" w:rsidP="0062075E">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1</w:t>
      </w:r>
      <w:r w:rsidR="0026060E" w:rsidRPr="00687F57">
        <w:rPr>
          <w:rFonts w:asciiTheme="minorHAnsi" w:hAnsiTheme="minorHAnsi" w:cstheme="minorHAnsi"/>
          <w:b/>
          <w:bCs/>
        </w:rPr>
        <w:t>7</w:t>
      </w:r>
    </w:p>
    <w:p w:rsidR="0002236B" w:rsidRPr="00687F57" w:rsidRDefault="0002236B" w:rsidP="00687F57">
      <w:pPr>
        <w:spacing w:line="360" w:lineRule="auto"/>
        <w:rPr>
          <w:rFonts w:asciiTheme="minorHAnsi" w:hAnsiTheme="minorHAnsi" w:cstheme="minorHAnsi"/>
          <w:b/>
          <w:bCs/>
          <w:lang w:val="en-GB"/>
        </w:rPr>
      </w:pPr>
      <w:r w:rsidRPr="00687F57">
        <w:rPr>
          <w:rFonts w:asciiTheme="minorHAnsi" w:hAnsiTheme="minorHAnsi" w:cstheme="minorHAnsi"/>
          <w:b/>
          <w:bCs/>
        </w:rPr>
        <w:t xml:space="preserve">Εκτέλεση αποφάσεων Ευρωπαϊκής Επιτροπής </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 xml:space="preserve">Οι διατάξεις του προτεινόμενου άρθρου αφορούν τη διαδικασία ανάκτησης από αγροτικές συνεταιριστικές οργανώσεις των ενισχύσεων των κατωτέρω περιπτώσεων α΄ και β΄ που κρίθηκαν μη συμβατές με το ενωσιακό δίκαιο. Ειδικότερα: </w:t>
      </w:r>
    </w:p>
    <w:p w:rsidR="0002236B" w:rsidRPr="00687F57" w:rsidRDefault="0002236B" w:rsidP="004840FB">
      <w:pPr>
        <w:pStyle w:val="ListParagraph"/>
        <w:spacing w:after="0" w:line="360" w:lineRule="auto"/>
        <w:ind w:left="0"/>
        <w:jc w:val="both"/>
        <w:rPr>
          <w:rFonts w:asciiTheme="minorHAnsi" w:hAnsiTheme="minorHAnsi" w:cstheme="minorHAnsi"/>
          <w:sz w:val="24"/>
          <w:szCs w:val="24"/>
        </w:rPr>
      </w:pPr>
      <w:r w:rsidRPr="00687F57">
        <w:rPr>
          <w:rFonts w:asciiTheme="minorHAnsi" w:hAnsiTheme="minorHAnsi" w:cstheme="minorHAnsi"/>
          <w:sz w:val="24"/>
          <w:szCs w:val="24"/>
        </w:rPr>
        <w:t>α) Σύμφωνα με την απόφαση 2002/458/ΕΚ</w:t>
      </w:r>
      <w:r w:rsidR="009B31F0" w:rsidRPr="00687F57">
        <w:rPr>
          <w:rFonts w:asciiTheme="minorHAnsi" w:hAnsiTheme="minorHAnsi" w:cstheme="minorHAnsi"/>
          <w:sz w:val="24"/>
          <w:szCs w:val="24"/>
        </w:rPr>
        <w:t xml:space="preserve"> της Επιτροπής</w:t>
      </w:r>
      <w:r w:rsidRPr="00687F57">
        <w:rPr>
          <w:rFonts w:asciiTheme="minorHAnsi" w:hAnsiTheme="minorHAnsi" w:cstheme="minorHAnsi"/>
          <w:sz w:val="24"/>
          <w:szCs w:val="24"/>
        </w:rPr>
        <w:t xml:space="preserve"> της 1ης Μαρτίου 2002 (ΕΕ </w:t>
      </w:r>
      <w:r w:rsidRPr="00687F57">
        <w:rPr>
          <w:rFonts w:asciiTheme="minorHAnsi" w:hAnsiTheme="minorHAnsi" w:cstheme="minorHAnsi"/>
          <w:sz w:val="24"/>
          <w:szCs w:val="24"/>
          <w:lang w:val="en-US"/>
        </w:rPr>
        <w:t>L</w:t>
      </w:r>
      <w:r w:rsidRPr="00687F57">
        <w:rPr>
          <w:rFonts w:asciiTheme="minorHAnsi" w:hAnsiTheme="minorHAnsi" w:cstheme="minorHAnsi"/>
          <w:sz w:val="24"/>
          <w:szCs w:val="24"/>
        </w:rPr>
        <w:t xml:space="preserve"> 159, 17.06.2002), οι ενισχύσεις που δόθηκαν κατά τα έτη 1992 και 1994, με σκοπό τη ρύθμιση χρεών γεωργικών συνεταιρισμών, συμπεριλαμβανομένων των ενισχύσεων για την αναδιοργάνωση της γαλακτοκομικής συνεταιριστικής επιχείρησης «ΑΓΝΟ», κηρύχθηκαν ασύμβατες με την κοινή αγορά. </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lastRenderedPageBreak/>
        <w:t xml:space="preserve">Ειδικότερα, στην παρ. 2 του άρθρου 1 της ανωτέρω απόφασης προβλέπεται, μεταξύ άλλων, ότι αποτελούν κρατικές ενισχύσεις και δεν συμβιβάζονται με την κοινή αγορά: α) το άρθρο 32 παράγραφος 2 του </w:t>
      </w:r>
      <w:r w:rsidR="009B31F0" w:rsidRPr="00687F57">
        <w:rPr>
          <w:rFonts w:asciiTheme="minorHAnsi" w:hAnsiTheme="minorHAnsi" w:cstheme="minorHAnsi"/>
        </w:rPr>
        <w:t xml:space="preserve">ν. </w:t>
      </w:r>
      <w:r w:rsidRPr="00687F57">
        <w:rPr>
          <w:rFonts w:asciiTheme="minorHAnsi" w:hAnsiTheme="minorHAnsi" w:cstheme="minorHAnsi"/>
        </w:rPr>
        <w:t>2008/</w:t>
      </w:r>
      <w:r w:rsidR="009B31F0" w:rsidRPr="00687F57">
        <w:rPr>
          <w:rFonts w:asciiTheme="minorHAnsi" w:hAnsiTheme="minorHAnsi" w:cstheme="minorHAnsi"/>
        </w:rPr>
        <w:t>19</w:t>
      </w:r>
      <w:r w:rsidRPr="00687F57">
        <w:rPr>
          <w:rFonts w:asciiTheme="minorHAnsi" w:hAnsiTheme="minorHAnsi" w:cstheme="minorHAnsi"/>
        </w:rPr>
        <w:t xml:space="preserve">92 και β) το άρθρο 5 του </w:t>
      </w:r>
      <w:r w:rsidR="009B31F0" w:rsidRPr="00687F57">
        <w:rPr>
          <w:rFonts w:asciiTheme="minorHAnsi" w:hAnsiTheme="minorHAnsi" w:cstheme="minorHAnsi"/>
        </w:rPr>
        <w:t>ν.</w:t>
      </w:r>
      <w:r w:rsidRPr="00687F57">
        <w:rPr>
          <w:rFonts w:asciiTheme="minorHAnsi" w:hAnsiTheme="minorHAnsi" w:cstheme="minorHAnsi"/>
        </w:rPr>
        <w:t xml:space="preserve"> 2237/</w:t>
      </w:r>
      <w:r w:rsidR="009B31F0" w:rsidRPr="00687F57">
        <w:rPr>
          <w:rFonts w:asciiTheme="minorHAnsi" w:hAnsiTheme="minorHAnsi" w:cstheme="minorHAnsi"/>
        </w:rPr>
        <w:t>19</w:t>
      </w:r>
      <w:r w:rsidRPr="00687F57">
        <w:rPr>
          <w:rFonts w:asciiTheme="minorHAnsi" w:hAnsiTheme="minorHAnsi" w:cstheme="minorHAnsi"/>
        </w:rPr>
        <w:t xml:space="preserve">94. Σύμφωνα με το άρθρο 32 του ν. 2008/1992 (Α΄ 16) το Ελληνικό Δημόσιο ρύθμισε κεφάλαιο που όφειλαν </w:t>
      </w:r>
      <w:r w:rsidR="009B31F0" w:rsidRPr="00687F57">
        <w:rPr>
          <w:rFonts w:asciiTheme="minorHAnsi" w:hAnsiTheme="minorHAnsi" w:cstheme="minorHAnsi"/>
        </w:rPr>
        <w:t>εξήντα</w:t>
      </w:r>
      <w:r w:rsidRPr="00687F57">
        <w:rPr>
          <w:rFonts w:asciiTheme="minorHAnsi" w:hAnsiTheme="minorHAnsi" w:cstheme="minorHAnsi"/>
        </w:rPr>
        <w:t xml:space="preserve"> αγροτικές συνεταιριστικές οργανώσεις (πρωτοβάθμιες, δευτεροβάθμιες και τριτοβάθμιες συνεταιριστικές οργανώσεις, κοινοπραξίες και εταιρείες), στο εξής ΑΣΟ,  προς την πρώην Αγροτική Τράπεζα της Ελλάδος (ΑΤΕ), συνολικού ποσού 63.889.400 €, ενώ κατ’ εφαρμογή του άρθρου 5 του ν. 2237/</w:t>
      </w:r>
      <w:r w:rsidR="009B31F0" w:rsidRPr="00687F57">
        <w:rPr>
          <w:rFonts w:asciiTheme="minorHAnsi" w:hAnsiTheme="minorHAnsi" w:cstheme="minorHAnsi"/>
        </w:rPr>
        <w:t>19</w:t>
      </w:r>
      <w:r w:rsidRPr="00687F57">
        <w:rPr>
          <w:rFonts w:asciiTheme="minorHAnsi" w:hAnsiTheme="minorHAnsi" w:cstheme="minorHAnsi"/>
        </w:rPr>
        <w:t xml:space="preserve">94 (Α΄ 149), στο οποίο προβλεπόταν η δυνατότητα της ΑΤΕ να ρυθμίζει τις ληξιπρόθεσμες οφειλές των ΑΣΟ με την προϋπόθεση οι συνεταιρισμοί αυτοί να εξοφλούσαν το ρυθμιζόμενο οφειλόμενο κεφάλαιο σε </w:t>
      </w:r>
      <w:r w:rsidR="009B31F0" w:rsidRPr="00687F57">
        <w:rPr>
          <w:rFonts w:asciiTheme="minorHAnsi" w:hAnsiTheme="minorHAnsi" w:cstheme="minorHAnsi"/>
        </w:rPr>
        <w:t xml:space="preserve">δέκα </w:t>
      </w:r>
      <w:r w:rsidRPr="00687F57">
        <w:rPr>
          <w:rFonts w:asciiTheme="minorHAnsi" w:hAnsiTheme="minorHAnsi" w:cstheme="minorHAnsi"/>
        </w:rPr>
        <w:t xml:space="preserve">ή </w:t>
      </w:r>
      <w:r w:rsidR="009B31F0" w:rsidRPr="00687F57">
        <w:rPr>
          <w:rFonts w:asciiTheme="minorHAnsi" w:hAnsiTheme="minorHAnsi" w:cstheme="minorHAnsi"/>
        </w:rPr>
        <w:t>δεκαπέντε</w:t>
      </w:r>
      <w:r w:rsidRPr="00687F57">
        <w:rPr>
          <w:rFonts w:asciiTheme="minorHAnsi" w:hAnsiTheme="minorHAnsi" w:cstheme="minorHAnsi"/>
        </w:rPr>
        <w:t xml:space="preserve"> ετήσιες δόσεις, το Ελληνικό Δημόσιο ρύθμισε υφιστάμενες ληξιπρόθεσμες οφειλές </w:t>
      </w:r>
      <w:r w:rsidR="009B31F0" w:rsidRPr="00687F57">
        <w:rPr>
          <w:rFonts w:asciiTheme="minorHAnsi" w:hAnsiTheme="minorHAnsi" w:cstheme="minorHAnsi"/>
        </w:rPr>
        <w:t xml:space="preserve">τριάντα έξι </w:t>
      </w:r>
      <w:r w:rsidRPr="00687F57">
        <w:rPr>
          <w:rFonts w:asciiTheme="minorHAnsi" w:hAnsiTheme="minorHAnsi" w:cstheme="minorHAnsi"/>
        </w:rPr>
        <w:t>ΑΣΟ προς την πρώην Αγροτική Τράπεζα της Ελλάδας, δηλαδή επιδοτούσε το επιτόκιο των οφειλών αυτών με την ως άνω προϋπόθεση. Στις 29 Απριλίου 2004 το Ευρωπαϊκό Δικαστήριο απέρριψε την προσφυγή της Ελληνικής Δημοκρατίας εναντίον της εν λόγω απόφασης της Ε.Ε.</w:t>
      </w:r>
    </w:p>
    <w:p w:rsidR="0002236B" w:rsidRPr="00687F57" w:rsidRDefault="0002236B" w:rsidP="004840FB">
      <w:pPr>
        <w:spacing w:line="360" w:lineRule="auto"/>
        <w:jc w:val="both"/>
        <w:rPr>
          <w:rFonts w:asciiTheme="minorHAnsi" w:hAnsiTheme="minorHAnsi" w:cstheme="minorHAnsi"/>
          <w:strike/>
        </w:rPr>
      </w:pPr>
      <w:r w:rsidRPr="00687F57">
        <w:rPr>
          <w:rFonts w:asciiTheme="minorHAnsi" w:hAnsiTheme="minorHAnsi" w:cstheme="minorHAnsi"/>
        </w:rPr>
        <w:t xml:space="preserve">Το συνολικό ποσό προς ανάκτηση ανέρχεται σε 95.000.000 € και οι υπόχρεοι προς επιστροφή των ενισχύσεων ΑΣΟ ανέρχονται σε εβδομήντα οκτώ. </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Είναι προφανές ότι αν γινόταν εφάπαξ ανάκτηση του ποσού των 95 εκ. ευρώ</w:t>
      </w:r>
      <w:r w:rsidRPr="00687F57">
        <w:rPr>
          <w:rStyle w:val="CommentReference"/>
          <w:rFonts w:asciiTheme="minorHAnsi" w:hAnsiTheme="minorHAnsi" w:cstheme="minorHAnsi"/>
          <w:sz w:val="24"/>
          <w:szCs w:val="24"/>
        </w:rPr>
        <w:t> </w:t>
      </w:r>
      <w:r w:rsidRPr="00687F57">
        <w:rPr>
          <w:rFonts w:asciiTheme="minorHAnsi" w:hAnsiTheme="minorHAnsi" w:cstheme="minorHAnsi"/>
        </w:rPr>
        <w:t xml:space="preserve">, πολλές ΑΣΟ θα οδηγούνταν σε εκκαθάριση με συνέπειες εξαιρετικά δυσμενείς για τον πρωτογενή τομέα και την ελληνική οικονομία γενικότερα. </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β) Το Ελληνικό Δημόσιο με σειρά υπουργικών αποφάσεων [όπως οι αριθμ.  56700/Β.3033/08.12.2008 (Β΄ 2540) και 2/88675/0025/09.12.2008  (Β΄ 2507) αποφάσεις του Υπουργού και του Υφυπουργού Οικονομίας και Οικονομικών αντίστοιχα], ενέκρινε την επιδότηση επιτοκίου για τα δάνεια τα οποία είχαν χορηγηθεί ή επρόκειτο να χορηγηθούν το έτος 2008 από</w:t>
      </w:r>
      <w:r w:rsidRPr="00687F57">
        <w:rPr>
          <w:rStyle w:val="CommentReference"/>
          <w:rFonts w:asciiTheme="minorHAnsi" w:hAnsiTheme="minorHAnsi" w:cstheme="minorHAnsi"/>
          <w:sz w:val="24"/>
          <w:szCs w:val="24"/>
        </w:rPr>
        <w:t> </w:t>
      </w:r>
      <w:r w:rsidRPr="00687F57">
        <w:rPr>
          <w:rFonts w:asciiTheme="minorHAnsi" w:hAnsiTheme="minorHAnsi" w:cstheme="minorHAnsi"/>
        </w:rPr>
        <w:t xml:space="preserve"> τα πιστωτικά ιδρύματα της χώρας προς τις Ενώσεις Αγροτικών Συνεταιρισμών (ΕΑΣ) και τους πρωτοβάθμιους αγροτικούς συνεταιρισμούς, προκειμένου να διατεθούν προς τους παραγωγούς, για αγορασθείσες και παραληφθείσες ποσότητες δημητριακών</w:t>
      </w:r>
      <w:r w:rsidR="00085297" w:rsidRPr="00687F57">
        <w:rPr>
          <w:rFonts w:asciiTheme="minorHAnsi" w:hAnsiTheme="minorHAnsi" w:cstheme="minorHAnsi"/>
        </w:rPr>
        <w:t xml:space="preserve"> </w:t>
      </w:r>
      <w:r w:rsidRPr="00687F57">
        <w:rPr>
          <w:rFonts w:asciiTheme="minorHAnsi" w:hAnsiTheme="minorHAnsi" w:cstheme="minorHAnsi"/>
        </w:rPr>
        <w:t xml:space="preserve">του 2008 και παρείχε εγγύηση σε ποσοστό 100% στα δάνεια τα οποία  χορηγήθηκαν από τα πιστωτικά ιδρύματα της χώρας προς τις ΕΑΣ και τους πρωτοβάθμιους αγροτικούς συνεταιρισμούς, προκειμένου να διατεθούν προς τους παραγωγούς για </w:t>
      </w:r>
      <w:r w:rsidRPr="00687F57">
        <w:rPr>
          <w:rFonts w:asciiTheme="minorHAnsi" w:hAnsiTheme="minorHAnsi" w:cstheme="minorHAnsi"/>
        </w:rPr>
        <w:lastRenderedPageBreak/>
        <w:t>ποσότητες δημητριακών οι οποίες αγοράσθηκαν αντίστοιχα ή παρελήφθησαν κατά το 2008.</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Η Ευρωπαϊκή Επιτροπή με την αριθμ. 2012/3</w:t>
      </w:r>
      <w:r w:rsidR="00687F57">
        <w:rPr>
          <w:rFonts w:asciiTheme="minorHAnsi" w:hAnsiTheme="minorHAnsi" w:cstheme="minorHAnsi"/>
        </w:rPr>
        <w:t>20/ΕΕ απόφασή της και το Γενικό</w:t>
      </w:r>
      <w:r w:rsidRPr="00687F57">
        <w:rPr>
          <w:rFonts w:asciiTheme="minorHAnsi" w:hAnsiTheme="minorHAnsi" w:cstheme="minorHAnsi"/>
        </w:rPr>
        <w:t xml:space="preserve"> Δικαστήριο με την απόφασή του της 9ης Α</w:t>
      </w:r>
      <w:r w:rsidR="00687F57">
        <w:rPr>
          <w:rFonts w:asciiTheme="minorHAnsi" w:hAnsiTheme="minorHAnsi" w:cstheme="minorHAnsi"/>
        </w:rPr>
        <w:t>πριλίου 2014 αποφάνθηκαν ότι οι</w:t>
      </w:r>
      <w:r w:rsidRPr="00687F57">
        <w:rPr>
          <w:rFonts w:asciiTheme="minorHAnsi" w:hAnsiTheme="minorHAnsi" w:cstheme="minorHAnsi"/>
        </w:rPr>
        <w:t xml:space="preserve"> ανωτέρω χορηγηθείσες ενισχύσεις που συνίσταντο στην επιδότηση επιτοκίου και στην καλύπτουσα το συνολικό ποσό δανείου εγγύηση αποτελούσαν κρατική ενίσχυση που δεν ήταν συμβατή με την εσωτερική α</w:t>
      </w:r>
      <w:r w:rsidR="00687F57">
        <w:rPr>
          <w:rFonts w:asciiTheme="minorHAnsi" w:hAnsiTheme="minorHAnsi" w:cstheme="minorHAnsi"/>
        </w:rPr>
        <w:t>γορά και η Ελλάδα όφειλε να τις</w:t>
      </w:r>
      <w:r w:rsidRPr="00687F57">
        <w:rPr>
          <w:rFonts w:asciiTheme="minorHAnsi" w:hAnsiTheme="minorHAnsi" w:cstheme="minorHAnsi"/>
        </w:rPr>
        <w:t xml:space="preserve"> ανακτήσει από τους δικαιούχους.</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Εκτιμάται ότι το ποσό των τόκων που πρέπει να ανακτηθούν ανέρχεται σε 7.727.993 € για τους 49 ΑΣΟ, ενώ το ποσό των εγγυήσεων ανέρχεται σε 3.686.255,94 €. Το συνολικό ποσό που πρέπει να ανακτηθεί ανέρχεται σε 13.265.352 €.</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Σύμφωνα με το ισχύον θεσμικό ενωσιακό και εθνικό πλαίσιο οι ανακτήσεις  πρέπει να είναι άμεσες και εφάπαξ. Το Υπουργείο Αγροτικής Ανάπτυξης και Τροφίμων πρότεινε στην Ευρωπαϊκή Επιτροπή (Επιστολή της 31</w:t>
      </w:r>
      <w:r w:rsidR="009B31F0" w:rsidRPr="00687F57">
        <w:rPr>
          <w:rFonts w:asciiTheme="minorHAnsi" w:hAnsiTheme="minorHAnsi" w:cstheme="minorHAnsi"/>
        </w:rPr>
        <w:t>ης</w:t>
      </w:r>
      <w:r w:rsidRPr="00687F57">
        <w:rPr>
          <w:rFonts w:asciiTheme="minorHAnsi" w:hAnsiTheme="minorHAnsi" w:cstheme="minorHAnsi"/>
        </w:rPr>
        <w:t>.5.2019 με αριθμ. πρωτ. 523/126708) μια μεθοδολογία ανάκτησης η οποία συμπεριλάμβανε την ανάκτηση των τόκων που δεν καταβλήθηκαν κατά την περίοδο από 1</w:t>
      </w:r>
      <w:r w:rsidR="009B31F0" w:rsidRPr="00687F57">
        <w:rPr>
          <w:rFonts w:asciiTheme="minorHAnsi" w:hAnsiTheme="minorHAnsi" w:cstheme="minorHAnsi"/>
        </w:rPr>
        <w:t>ης</w:t>
      </w:r>
      <w:r w:rsidRPr="00687F57">
        <w:rPr>
          <w:rFonts w:asciiTheme="minorHAnsi" w:hAnsiTheme="minorHAnsi" w:cstheme="minorHAnsi"/>
        </w:rPr>
        <w:t>.1.2009 μέχρι 26.10.2010, καθώς επίσης και την καταβολή εγγύησης</w:t>
      </w:r>
      <w:r w:rsidRPr="00687F57">
        <w:rPr>
          <w:rStyle w:val="CommentReference"/>
          <w:rFonts w:asciiTheme="minorHAnsi" w:hAnsiTheme="minorHAnsi" w:cstheme="minorHAnsi"/>
          <w:sz w:val="24"/>
          <w:szCs w:val="24"/>
        </w:rPr>
        <w:t> </w:t>
      </w:r>
      <w:r w:rsidRPr="00687F57">
        <w:rPr>
          <w:rFonts w:asciiTheme="minorHAnsi" w:hAnsiTheme="minorHAnsi" w:cstheme="minorHAnsi"/>
        </w:rPr>
        <w:t xml:space="preserve"> ύψους 2%, καθώς με την αριθμ. 2/21304/0025/26-10-2010 υπουργική απόφαση (Β΄1695) καταργήθηκαν οι ανωτέρω ρυθμίσεις περί επιδότησης επιτοκίου και ορίσθηκε η υποχρέωση των ΑΣΟ που έλαβαν δάνεια να τα αποπληρώνουν με τα ισχύοντα επιτόκια της αγοράς και επιπλέον η υποχρέωση καταβολή εκ μέρους των ΑΣΟ μηνιαίας εγγύησης ποσοστού 2% επί του ποσού του δανείου που έλαβαν.</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 xml:space="preserve">Επειδή η Ευρωπαϊκή Επιτροπή αποδέχθηκε ότι η άμεση και εφάπαξ ανάκτηση θα έχει δυσμενέστατες </w:t>
      </w:r>
      <w:r w:rsidR="009B31F0" w:rsidRPr="00687F57">
        <w:rPr>
          <w:rFonts w:asciiTheme="minorHAnsi" w:hAnsiTheme="minorHAnsi" w:cstheme="minorHAnsi"/>
        </w:rPr>
        <w:t xml:space="preserve">συνέπειες </w:t>
      </w:r>
      <w:r w:rsidRPr="00687F57">
        <w:rPr>
          <w:rFonts w:asciiTheme="minorHAnsi" w:hAnsiTheme="minorHAnsi" w:cstheme="minorHAnsi"/>
        </w:rPr>
        <w:t>για τις ΑΣΟ, δόθηκε η δυνατότητα στη χώρα να προχωρήσει σε ανακτήσεις με ετήσιες δόσεις οι οποίες πρέπει να είναι έντοκες και με επιτόκια αγοράς.</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Κατόπιν των ανωτέρω, είναι απαραίτητη η εισαγωγή ειδικής ρύθμισης προκειμένου να καθορισθούν οι λεπτομέρειες της διαδικασίας εκτέλεσης των ανωτέρω αποφάσεων της Ευρωπαϊκής Επιτροπής, όπως συμφωνήθηκαν με αυτή στ</w:t>
      </w:r>
      <w:r w:rsidR="009B31F0" w:rsidRPr="00687F57">
        <w:rPr>
          <w:rFonts w:asciiTheme="minorHAnsi" w:hAnsiTheme="minorHAnsi" w:cstheme="minorHAnsi"/>
        </w:rPr>
        <w:t>ο</w:t>
      </w:r>
      <w:r w:rsidRPr="00687F57">
        <w:rPr>
          <w:rFonts w:asciiTheme="minorHAnsi" w:hAnsiTheme="minorHAnsi" w:cstheme="minorHAnsi"/>
        </w:rPr>
        <w:t xml:space="preserve"> πλαίσι</w:t>
      </w:r>
      <w:r w:rsidR="009B31F0" w:rsidRPr="00687F57">
        <w:rPr>
          <w:rFonts w:asciiTheme="minorHAnsi" w:hAnsiTheme="minorHAnsi" w:cstheme="minorHAnsi"/>
        </w:rPr>
        <w:t>ο</w:t>
      </w:r>
      <w:r w:rsidRPr="00687F57">
        <w:rPr>
          <w:rFonts w:asciiTheme="minorHAnsi" w:hAnsiTheme="minorHAnsi" w:cstheme="minorHAnsi"/>
        </w:rPr>
        <w:t xml:space="preserve"> τ</w:t>
      </w:r>
      <w:r w:rsidR="009B31F0" w:rsidRPr="00687F57">
        <w:rPr>
          <w:rFonts w:asciiTheme="minorHAnsi" w:hAnsiTheme="minorHAnsi" w:cstheme="minorHAnsi"/>
        </w:rPr>
        <w:t>ης</w:t>
      </w:r>
      <w:r w:rsidRPr="00687F57">
        <w:rPr>
          <w:rFonts w:asciiTheme="minorHAnsi" w:hAnsiTheme="minorHAnsi" w:cstheme="minorHAnsi"/>
        </w:rPr>
        <w:t xml:space="preserve"> αρχ</w:t>
      </w:r>
      <w:r w:rsidR="009B31F0" w:rsidRPr="00687F57">
        <w:rPr>
          <w:rFonts w:asciiTheme="minorHAnsi" w:hAnsiTheme="minorHAnsi" w:cstheme="minorHAnsi"/>
        </w:rPr>
        <w:t>ής</w:t>
      </w:r>
      <w:r w:rsidRPr="00687F57">
        <w:rPr>
          <w:rFonts w:asciiTheme="minorHAnsi" w:hAnsiTheme="minorHAnsi" w:cstheme="minorHAnsi"/>
        </w:rPr>
        <w:t xml:space="preserve"> της καλής συνεργασίας.</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 xml:space="preserve">Με την προτεινόμενη διάταξη της παρ. 1 δίνεται η δυνατότητα αποπληρωμής των οφειλομένων ποσών σε ετήσιες έντοκες δόσεις οι οποίες μπορούν να φθάσουν κατ΄ </w:t>
      </w:r>
      <w:r w:rsidRPr="00687F57">
        <w:rPr>
          <w:rFonts w:asciiTheme="minorHAnsi" w:hAnsiTheme="minorHAnsi" w:cstheme="minorHAnsi"/>
        </w:rPr>
        <w:lastRenderedPageBreak/>
        <w:t xml:space="preserve">ανώτατο όριο μέχρι τις </w:t>
      </w:r>
      <w:r w:rsidR="00687F57">
        <w:rPr>
          <w:rFonts w:asciiTheme="minorHAnsi" w:hAnsiTheme="minorHAnsi" w:cstheme="minorHAnsi"/>
        </w:rPr>
        <w:t>είκοσι</w:t>
      </w:r>
      <w:r w:rsidR="009B31F0" w:rsidRPr="00687F57">
        <w:rPr>
          <w:rFonts w:asciiTheme="minorHAnsi" w:hAnsiTheme="minorHAnsi" w:cstheme="minorHAnsi"/>
        </w:rPr>
        <w:t xml:space="preserve"> </w:t>
      </w:r>
      <w:r w:rsidR="0049121E">
        <w:rPr>
          <w:rFonts w:asciiTheme="minorHAnsi" w:hAnsiTheme="minorHAnsi" w:cstheme="minorHAnsi"/>
          <w:lang w:val="en-GB"/>
        </w:rPr>
        <w:t xml:space="preserve">(20) </w:t>
      </w:r>
      <w:r w:rsidRPr="00687F57">
        <w:rPr>
          <w:rFonts w:asciiTheme="minorHAnsi" w:hAnsiTheme="minorHAnsi" w:cstheme="minorHAnsi"/>
        </w:rPr>
        <w:t>και ορίζεται ότι ο αριθμός των δόσεων καθορίζεται σύμφωνα με τη χρηματοδοτική ικανότητα κάθε ΑΣΟ.</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Με την προτεινόμενη διάταξη της παρ. 2 εξουσιοδοτούνται οι αρμόδιοι Υπουργοί να ρυθμίσουν</w:t>
      </w:r>
      <w:r w:rsidR="009B31F0" w:rsidRPr="00687F57">
        <w:rPr>
          <w:rFonts w:asciiTheme="minorHAnsi" w:hAnsiTheme="minorHAnsi" w:cstheme="minorHAnsi"/>
        </w:rPr>
        <w:t>,</w:t>
      </w:r>
      <w:r w:rsidRPr="00687F57">
        <w:rPr>
          <w:rFonts w:asciiTheme="minorHAnsi" w:hAnsiTheme="minorHAnsi" w:cstheme="minorHAnsi"/>
        </w:rPr>
        <w:t xml:space="preserve"> με κοινή απόφασή </w:t>
      </w:r>
      <w:r w:rsidR="009B31F0" w:rsidRPr="00687F57">
        <w:rPr>
          <w:rFonts w:asciiTheme="minorHAnsi" w:hAnsiTheme="minorHAnsi" w:cstheme="minorHAnsi"/>
        </w:rPr>
        <w:t>τους,</w:t>
      </w:r>
      <w:r w:rsidRPr="00687F57">
        <w:rPr>
          <w:rFonts w:asciiTheme="minorHAnsi" w:hAnsiTheme="minorHAnsi" w:cstheme="minorHAnsi"/>
        </w:rPr>
        <w:t xml:space="preserve"> κάθε λεπτομέρεια σχετική με τις ανακτήσεις της παρ. 1 και ιδίως τους υπόχρεους προς ανάκτηση ΑΣΟ, τον αριθμό και το ποσό των ετήσιων δόσεων για κάθε αγροτικό συνεταιρισμό</w:t>
      </w:r>
      <w:r w:rsidR="009B31F0" w:rsidRPr="00687F57">
        <w:rPr>
          <w:rFonts w:asciiTheme="minorHAnsi" w:hAnsiTheme="minorHAnsi" w:cstheme="minorHAnsi"/>
        </w:rPr>
        <w:t>,</w:t>
      </w:r>
      <w:r w:rsidRPr="00687F57">
        <w:rPr>
          <w:rFonts w:asciiTheme="minorHAnsi" w:hAnsiTheme="minorHAnsi" w:cstheme="minorHAnsi"/>
        </w:rPr>
        <w:t xml:space="preserve"> καθώς και το ύψος του επιτοκίου των δόσεων. </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Με την προτεινόμενη παρ. 3 ορίζεται η αρμόδια για τις διαδικασίες ανάκτησης υπηρεσία του ΥΠΑΑΤ.</w:t>
      </w:r>
    </w:p>
    <w:p w:rsidR="0002236B" w:rsidRPr="00687F57" w:rsidRDefault="0002236B" w:rsidP="004840FB">
      <w:pPr>
        <w:spacing w:line="360" w:lineRule="auto"/>
        <w:jc w:val="both"/>
        <w:rPr>
          <w:rFonts w:asciiTheme="minorHAnsi" w:hAnsiTheme="minorHAnsi" w:cstheme="minorHAnsi"/>
        </w:rPr>
      </w:pPr>
      <w:r w:rsidRPr="00687F57">
        <w:rPr>
          <w:rFonts w:asciiTheme="minorHAnsi" w:hAnsiTheme="minorHAnsi" w:cstheme="minorHAnsi"/>
        </w:rPr>
        <w:t xml:space="preserve">Με την προτεινόμενη διάταξη της παρ. 4 ορίζεται ρητά ότι σε περίπτωση μη έγκαιρης καταβολής έστω και μίας δόσης από τους υπόχρεους προς ανάκτηση, η σχετική απαίτηση καθίσταται άμεσα ληξιπρόθεσμη και απαιτητή. </w:t>
      </w:r>
    </w:p>
    <w:p w:rsidR="00CE008C" w:rsidRPr="00687F57" w:rsidRDefault="00CE008C" w:rsidP="004840FB">
      <w:pPr>
        <w:spacing w:line="360" w:lineRule="auto"/>
        <w:jc w:val="both"/>
        <w:rPr>
          <w:rFonts w:asciiTheme="minorHAnsi" w:hAnsiTheme="minorHAnsi" w:cstheme="minorHAnsi"/>
        </w:rPr>
      </w:pPr>
    </w:p>
    <w:p w:rsidR="0002236B" w:rsidRPr="00687F57" w:rsidRDefault="0002236B" w:rsidP="007C1BEA">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1</w:t>
      </w:r>
      <w:r w:rsidR="0026060E" w:rsidRPr="00687F57">
        <w:rPr>
          <w:rFonts w:asciiTheme="minorHAnsi" w:hAnsiTheme="minorHAnsi" w:cstheme="minorHAnsi"/>
          <w:b/>
          <w:bCs/>
        </w:rPr>
        <w:t>8</w:t>
      </w:r>
    </w:p>
    <w:p w:rsidR="0002236B" w:rsidRPr="00687F57" w:rsidRDefault="0002236B" w:rsidP="00687F57">
      <w:pPr>
        <w:spacing w:line="360" w:lineRule="auto"/>
        <w:jc w:val="both"/>
        <w:rPr>
          <w:rFonts w:asciiTheme="minorHAnsi" w:hAnsiTheme="minorHAnsi" w:cstheme="minorHAnsi"/>
          <w:b/>
          <w:lang w:val="en-GB"/>
        </w:rPr>
      </w:pPr>
      <w:r w:rsidRPr="00687F57">
        <w:rPr>
          <w:rFonts w:asciiTheme="minorHAnsi" w:hAnsiTheme="minorHAnsi" w:cstheme="minorHAnsi"/>
          <w:b/>
        </w:rPr>
        <w:t xml:space="preserve">Εκκαθάριση δαπανών </w:t>
      </w:r>
    </w:p>
    <w:p w:rsidR="00CE008C" w:rsidRPr="00687F57" w:rsidRDefault="00687F57" w:rsidP="00CE008C">
      <w:pPr>
        <w:pStyle w:val="HTMLPreformatted"/>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Με την παρ. </w:t>
      </w:r>
      <w:r>
        <w:rPr>
          <w:rFonts w:asciiTheme="minorHAnsi" w:hAnsiTheme="minorHAnsi" w:cstheme="minorHAnsi"/>
          <w:sz w:val="24"/>
          <w:szCs w:val="24"/>
          <w:lang w:val="en-GB"/>
        </w:rPr>
        <w:t>1</w:t>
      </w:r>
      <w:r w:rsidR="00CE008C" w:rsidRPr="00687F57">
        <w:rPr>
          <w:rFonts w:asciiTheme="minorHAnsi" w:hAnsiTheme="minorHAnsi" w:cstheme="minorHAnsi"/>
          <w:sz w:val="24"/>
          <w:szCs w:val="24"/>
        </w:rPr>
        <w:t xml:space="preserve"> του προτεινόμενου άρθρου ρυθμίζονται θέματα εκκαθάρισης δαπανών μετακίνησης. Ειδικότερα, σύμφωνα με την αριθμ. 2/9118/0026/29-12-2020 εγκύκλιο του Υπουργείου Οικονομικών, με την οποία παρέχονταν οδηγίες και διευκρινίσεις σχετικά με τις διατάξεις των παρ. 1 και 2 του άρθρου 21 του ν. 2362/1995 «Περί Δημοσίου Λογιστικού, ελέγχου των δαπανών του Κράτους και άλλες διατάξεις» (Α΄ 247) και την παρ. 2 του άρθρου 2 του π.δ. 113/2010, η ανάληψη δέσμευσης πίστωσης πρέπει να προηγείται της έκδοσης της απόφασης μετακίνησης και ρητά να αναφέρεται στην απόφαση. Η ανωτέρω εγκύκλιος περιήλθε στη Διεύθυνση Οικονομικ</w:t>
      </w:r>
      <w:r w:rsidR="00753A95" w:rsidRPr="00687F57">
        <w:rPr>
          <w:rFonts w:asciiTheme="minorHAnsi" w:hAnsiTheme="minorHAnsi" w:cstheme="minorHAnsi"/>
          <w:sz w:val="24"/>
          <w:szCs w:val="24"/>
        </w:rPr>
        <w:t>ού</w:t>
      </w:r>
      <w:r w:rsidR="00CE008C" w:rsidRPr="00687F57">
        <w:rPr>
          <w:rFonts w:asciiTheme="minorHAnsi" w:hAnsiTheme="minorHAnsi" w:cstheme="minorHAnsi"/>
          <w:sz w:val="24"/>
          <w:szCs w:val="24"/>
        </w:rPr>
        <w:t xml:space="preserve"> του ΥΠΑΑΤ μετά το πρώτο δεκαπενθήμερο του μηνός Ιανουαρίου 2011, με αποτέλεσμα οι μετακινήσεις που είχαν πραγματοποιηθεί τον Ιανουάριο του 2011, παρότι υπήρχε η σχετική δέσμευση πίστωσης, να μην μπορούν να αποκατασταθούν, διότι δεν υπήρχε η αναφορά της δέσμευσης πίστωσης σε κάθε απόφαση μετακίνησης ξεχωριστά. Η τότε Υπηρεσία Δημοσιονομικού Ελέγχου στο ΥΠΑΑΤ αρνήθηκε την αποκατάσταση αυτών των δαπανών παρά το γεγονός ότι όλες οι άλλες ΥΔΕ προχώρησαν σε τακτοποίηση αυτών των δαπανών. Οι μη ενταλματοποιηθείσες και μη αποκατασταθείσες δαπάνες μετακινήσεων ανέρχονται στο συνολικό ποσό των τριάντα τεσσάρων </w:t>
      </w:r>
      <w:r w:rsidR="00CE008C" w:rsidRPr="00687F57">
        <w:rPr>
          <w:rFonts w:asciiTheme="minorHAnsi" w:hAnsiTheme="minorHAnsi" w:cstheme="minorHAnsi"/>
          <w:sz w:val="24"/>
          <w:szCs w:val="24"/>
        </w:rPr>
        <w:lastRenderedPageBreak/>
        <w:t>χιλιάδων εννιακοσίων πενήντα τριών χιλιάδων (34.953,00) ευρώ, ως αποτέλεσμα της χρονικής διαφοράς μεταξύ έκδοσης της εγκυκλίου και παραλαβής της από τη Διεύθυνση Οικονομικ</w:t>
      </w:r>
      <w:r w:rsidR="00753A95" w:rsidRPr="00687F57">
        <w:rPr>
          <w:rFonts w:asciiTheme="minorHAnsi" w:hAnsiTheme="minorHAnsi" w:cstheme="minorHAnsi"/>
          <w:sz w:val="24"/>
          <w:szCs w:val="24"/>
        </w:rPr>
        <w:t>ού</w:t>
      </w:r>
      <w:r w:rsidR="00CE008C" w:rsidRPr="00687F57">
        <w:rPr>
          <w:rFonts w:asciiTheme="minorHAnsi" w:hAnsiTheme="minorHAnsi" w:cstheme="minorHAnsi"/>
          <w:sz w:val="24"/>
          <w:szCs w:val="24"/>
        </w:rPr>
        <w:t xml:space="preserve"> του ΥΠΑΑΤ, γεγονός που σε καμία περίπτωση δεν αποτελεί μη συμμόρφωση της ως άνω Διεύθυνσης με τις κείμενες διατάξεις. Με τη προτεινόμενη διάταξη ρυθμίζονται τα της εκκαθάρισης των εν λόγω δαπανών μετακίνησης υπαλλήλων και πολιτικής ηγεσίας του ΥΠΑΑΤ. </w:t>
      </w:r>
    </w:p>
    <w:p w:rsidR="00CE008C" w:rsidRPr="00687F57" w:rsidRDefault="00CE008C" w:rsidP="00CE008C">
      <w:pPr>
        <w:pStyle w:val="HTMLPreformatted"/>
        <w:spacing w:line="360" w:lineRule="auto"/>
        <w:jc w:val="both"/>
        <w:rPr>
          <w:rFonts w:asciiTheme="minorHAnsi" w:hAnsiTheme="minorHAnsi" w:cstheme="minorHAnsi"/>
          <w:sz w:val="24"/>
          <w:szCs w:val="24"/>
        </w:rPr>
      </w:pPr>
      <w:r w:rsidRPr="00687F57">
        <w:rPr>
          <w:rFonts w:asciiTheme="minorHAnsi" w:hAnsiTheme="minorHAnsi" w:cstheme="minorHAnsi"/>
          <w:sz w:val="24"/>
          <w:szCs w:val="24"/>
        </w:rPr>
        <w:t xml:space="preserve">Με την </w:t>
      </w:r>
      <w:r w:rsidR="00753A95" w:rsidRPr="00687F57">
        <w:rPr>
          <w:rFonts w:asciiTheme="minorHAnsi" w:hAnsiTheme="minorHAnsi" w:cstheme="minorHAnsi"/>
          <w:sz w:val="24"/>
          <w:szCs w:val="24"/>
        </w:rPr>
        <w:t xml:space="preserve">παρ. </w:t>
      </w:r>
      <w:r w:rsidR="00687F57">
        <w:rPr>
          <w:rFonts w:asciiTheme="minorHAnsi" w:hAnsiTheme="minorHAnsi" w:cstheme="minorHAnsi"/>
          <w:sz w:val="24"/>
          <w:szCs w:val="24"/>
          <w:lang w:val="en-GB"/>
        </w:rPr>
        <w:t>2</w:t>
      </w:r>
      <w:r w:rsidRPr="00687F57">
        <w:rPr>
          <w:rFonts w:asciiTheme="minorHAnsi" w:hAnsiTheme="minorHAnsi" w:cstheme="minorHAnsi"/>
          <w:sz w:val="24"/>
          <w:szCs w:val="24"/>
        </w:rPr>
        <w:t xml:space="preserve"> επιδιώκεται η τακτοποίηση εκκρεμών δαπανών του Ταμείου Γεωργίας και Κτηνοτροφίας, ΝΠΔΔ εποπτευόμενο</w:t>
      </w:r>
      <w:r w:rsidR="00753A95" w:rsidRPr="00687F57">
        <w:rPr>
          <w:rFonts w:asciiTheme="minorHAnsi" w:hAnsiTheme="minorHAnsi" w:cstheme="minorHAnsi"/>
          <w:sz w:val="24"/>
          <w:szCs w:val="24"/>
        </w:rPr>
        <w:t>υ</w:t>
      </w:r>
      <w:r w:rsidRPr="00687F57">
        <w:rPr>
          <w:rFonts w:asciiTheme="minorHAnsi" w:hAnsiTheme="minorHAnsi" w:cstheme="minorHAnsi"/>
          <w:sz w:val="24"/>
          <w:szCs w:val="24"/>
        </w:rPr>
        <w:t xml:space="preserve"> από το ΥΠΑΑΤ.</w:t>
      </w:r>
    </w:p>
    <w:p w:rsidR="00CE008C" w:rsidRPr="00687F57" w:rsidRDefault="00CE008C" w:rsidP="00CE008C">
      <w:pPr>
        <w:pStyle w:val="HTMLPreformatted"/>
        <w:spacing w:line="360" w:lineRule="auto"/>
        <w:jc w:val="both"/>
        <w:rPr>
          <w:rFonts w:asciiTheme="minorHAnsi" w:hAnsiTheme="minorHAnsi" w:cstheme="minorHAnsi"/>
          <w:sz w:val="24"/>
          <w:szCs w:val="24"/>
        </w:rPr>
      </w:pPr>
      <w:r w:rsidRPr="00687F57">
        <w:rPr>
          <w:rFonts w:asciiTheme="minorHAnsi" w:hAnsiTheme="minorHAnsi" w:cstheme="minorHAnsi"/>
          <w:sz w:val="24"/>
          <w:szCs w:val="24"/>
        </w:rPr>
        <w:t>Ειδικότερα κατά το έτος 2012 πραγματοποιήθηκαν από διάφορες Αποκεντρωμένες Υπηρεσίες του ΥΠΑΑΤ, σε βάρος διαφόρων Κωδικών Αριθμών Εξόδου (Κ.Α.Ε.) των προϋπολογισμών του Ταμείου Γεωργίας &amp; Κτηνοτροφίας (Φ.110 και Σποροπαραγωγή), δαπάνες οι οποίες δεν κατέστη δυνατόν να εκκαθαριστούν από την τότε ΥΔΕ. Οι δαπάνες αυτές αφορούσαν σε:</w:t>
      </w:r>
    </w:p>
    <w:p w:rsidR="00CE008C" w:rsidRPr="00687F57" w:rsidRDefault="00CE008C" w:rsidP="00CE008C">
      <w:pPr>
        <w:pStyle w:val="HTMLPreformatted"/>
        <w:spacing w:line="360" w:lineRule="auto"/>
        <w:jc w:val="both"/>
        <w:rPr>
          <w:rFonts w:asciiTheme="minorHAnsi" w:hAnsiTheme="minorHAnsi" w:cstheme="minorHAnsi"/>
          <w:sz w:val="24"/>
          <w:szCs w:val="24"/>
        </w:rPr>
      </w:pPr>
      <w:r w:rsidRPr="00687F57">
        <w:rPr>
          <w:rFonts w:asciiTheme="minorHAnsi" w:hAnsiTheme="minorHAnsi" w:cstheme="minorHAnsi"/>
          <w:sz w:val="24"/>
          <w:szCs w:val="24"/>
        </w:rPr>
        <w:t>1. επιστροφές δικαιολογητικών παγίων προκαταβολών (Φ.110): 27.225.39 €</w:t>
      </w:r>
    </w:p>
    <w:p w:rsidR="00CE008C" w:rsidRPr="00687F57" w:rsidRDefault="00CE008C" w:rsidP="00CE008C">
      <w:pPr>
        <w:pStyle w:val="HTMLPreformatted"/>
        <w:spacing w:line="360" w:lineRule="auto"/>
        <w:jc w:val="both"/>
        <w:rPr>
          <w:rFonts w:asciiTheme="minorHAnsi" w:hAnsiTheme="minorHAnsi" w:cstheme="minorHAnsi"/>
          <w:sz w:val="24"/>
          <w:szCs w:val="24"/>
        </w:rPr>
      </w:pPr>
      <w:r w:rsidRPr="00687F57">
        <w:rPr>
          <w:rFonts w:asciiTheme="minorHAnsi" w:hAnsiTheme="minorHAnsi" w:cstheme="minorHAnsi"/>
          <w:sz w:val="24"/>
          <w:szCs w:val="24"/>
        </w:rPr>
        <w:t>2. επιστροφές δικαιολογητικών για έκδοση τακτικών ενταλμάτων (Φ.110): 2.346.40 €</w:t>
      </w:r>
    </w:p>
    <w:p w:rsidR="00CE008C" w:rsidRPr="00687F57" w:rsidRDefault="00CE008C" w:rsidP="00CE008C">
      <w:pPr>
        <w:pStyle w:val="HTMLPreformatted"/>
        <w:spacing w:line="360" w:lineRule="auto"/>
        <w:jc w:val="both"/>
        <w:rPr>
          <w:rFonts w:asciiTheme="minorHAnsi" w:hAnsiTheme="minorHAnsi" w:cstheme="minorHAnsi"/>
          <w:sz w:val="24"/>
          <w:szCs w:val="24"/>
        </w:rPr>
      </w:pPr>
      <w:r w:rsidRPr="00687F57">
        <w:rPr>
          <w:rFonts w:asciiTheme="minorHAnsi" w:hAnsiTheme="minorHAnsi" w:cstheme="minorHAnsi"/>
          <w:sz w:val="24"/>
          <w:szCs w:val="24"/>
        </w:rPr>
        <w:t>3. επιστροφές δικαιολογητ</w:t>
      </w:r>
      <w:r w:rsidR="00753A95" w:rsidRPr="00687F57">
        <w:rPr>
          <w:rFonts w:asciiTheme="minorHAnsi" w:hAnsiTheme="minorHAnsi" w:cstheme="minorHAnsi"/>
          <w:sz w:val="24"/>
          <w:szCs w:val="24"/>
        </w:rPr>
        <w:t>ικών</w:t>
      </w:r>
      <w:r w:rsidRPr="00687F57">
        <w:rPr>
          <w:rFonts w:asciiTheme="minorHAnsi" w:hAnsiTheme="minorHAnsi" w:cstheme="minorHAnsi"/>
          <w:sz w:val="24"/>
          <w:szCs w:val="24"/>
        </w:rPr>
        <w:t xml:space="preserve"> παγίων προκαταβολών (Σποροπαραγωγή): 11.203.85 €</w:t>
      </w:r>
    </w:p>
    <w:p w:rsidR="00CE008C" w:rsidRPr="00687F57" w:rsidRDefault="00687F57" w:rsidP="00CE008C">
      <w:pPr>
        <w:pStyle w:val="HTMLPreformatted"/>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ΣΥΝΟΛΟ </w:t>
      </w:r>
      <w:r w:rsidR="00CE008C" w:rsidRPr="00687F57">
        <w:rPr>
          <w:rFonts w:asciiTheme="minorHAnsi" w:hAnsiTheme="minorHAnsi" w:cstheme="minorHAnsi"/>
          <w:sz w:val="24"/>
          <w:szCs w:val="24"/>
        </w:rPr>
        <w:t>40.775,64 €</w:t>
      </w:r>
    </w:p>
    <w:p w:rsidR="00CE008C" w:rsidRPr="00687F57" w:rsidRDefault="00CE008C" w:rsidP="00CE008C">
      <w:pPr>
        <w:pStyle w:val="HTMLPreformatted"/>
        <w:spacing w:line="360" w:lineRule="auto"/>
        <w:jc w:val="both"/>
        <w:rPr>
          <w:rFonts w:asciiTheme="minorHAnsi" w:hAnsiTheme="minorHAnsi" w:cstheme="minorHAnsi"/>
          <w:sz w:val="24"/>
          <w:szCs w:val="24"/>
        </w:rPr>
      </w:pPr>
      <w:r w:rsidRPr="00687F57">
        <w:rPr>
          <w:rFonts w:asciiTheme="minorHAnsi" w:hAnsiTheme="minorHAnsi" w:cstheme="minorHAnsi"/>
          <w:sz w:val="24"/>
          <w:szCs w:val="24"/>
        </w:rPr>
        <w:t xml:space="preserve">Για τα ανωτέρω ποσά, που πληρώθηκαν μέσω της παγίας προκαταβολής έτους 2012, οι υπόλογοι των Υπηρεσιών αποστέλλουν τα δικαιολογητικά προς αποκατάσταση της παγίας και η όλη διαδικασία θα έπρεπε να </w:t>
      </w:r>
      <w:r w:rsidR="00753A95" w:rsidRPr="00687F57">
        <w:rPr>
          <w:rFonts w:asciiTheme="minorHAnsi" w:hAnsiTheme="minorHAnsi" w:cstheme="minorHAnsi"/>
          <w:sz w:val="24"/>
          <w:szCs w:val="24"/>
        </w:rPr>
        <w:t xml:space="preserve">έχει </w:t>
      </w:r>
      <w:r w:rsidRPr="00687F57">
        <w:rPr>
          <w:rFonts w:asciiTheme="minorHAnsi" w:hAnsiTheme="minorHAnsi" w:cstheme="minorHAnsi"/>
          <w:sz w:val="24"/>
          <w:szCs w:val="24"/>
        </w:rPr>
        <w:t xml:space="preserve">ολοκληρωθεί μέχρι </w:t>
      </w:r>
      <w:r w:rsidR="00753A95" w:rsidRPr="00687F57">
        <w:rPr>
          <w:rFonts w:asciiTheme="minorHAnsi" w:hAnsiTheme="minorHAnsi" w:cstheme="minorHAnsi"/>
          <w:sz w:val="24"/>
          <w:szCs w:val="24"/>
        </w:rPr>
        <w:t xml:space="preserve">τις </w:t>
      </w:r>
      <w:r w:rsidRPr="00687F57">
        <w:rPr>
          <w:rFonts w:asciiTheme="minorHAnsi" w:hAnsiTheme="minorHAnsi" w:cstheme="minorHAnsi"/>
          <w:sz w:val="24"/>
          <w:szCs w:val="24"/>
        </w:rPr>
        <w:t>30</w:t>
      </w:r>
      <w:r w:rsidR="00753A95" w:rsidRPr="00687F57">
        <w:rPr>
          <w:rFonts w:asciiTheme="minorHAnsi" w:hAnsiTheme="minorHAnsi" w:cstheme="minorHAnsi"/>
          <w:sz w:val="24"/>
          <w:szCs w:val="24"/>
        </w:rPr>
        <w:t>.</w:t>
      </w:r>
      <w:r w:rsidRPr="00687F57">
        <w:rPr>
          <w:rFonts w:asciiTheme="minorHAnsi" w:hAnsiTheme="minorHAnsi" w:cstheme="minorHAnsi"/>
          <w:sz w:val="24"/>
          <w:szCs w:val="24"/>
        </w:rPr>
        <w:t>4</w:t>
      </w:r>
      <w:r w:rsidR="00753A95" w:rsidRPr="00687F57">
        <w:rPr>
          <w:rFonts w:asciiTheme="minorHAnsi" w:hAnsiTheme="minorHAnsi" w:cstheme="minorHAnsi"/>
          <w:sz w:val="24"/>
          <w:szCs w:val="24"/>
        </w:rPr>
        <w:t>.</w:t>
      </w:r>
      <w:r w:rsidRPr="00687F57">
        <w:rPr>
          <w:rFonts w:asciiTheme="minorHAnsi" w:hAnsiTheme="minorHAnsi" w:cstheme="minorHAnsi"/>
          <w:sz w:val="24"/>
          <w:szCs w:val="24"/>
        </w:rPr>
        <w:t>2013</w:t>
      </w:r>
      <w:r w:rsidR="00753A95" w:rsidRPr="00687F57">
        <w:rPr>
          <w:rFonts w:asciiTheme="minorHAnsi" w:hAnsiTheme="minorHAnsi" w:cstheme="minorHAnsi"/>
          <w:sz w:val="24"/>
          <w:szCs w:val="24"/>
        </w:rPr>
        <w:t>, με την</w:t>
      </w:r>
      <w:r w:rsidRPr="00687F57">
        <w:rPr>
          <w:rFonts w:asciiTheme="minorHAnsi" w:hAnsiTheme="minorHAnsi" w:cstheme="minorHAnsi"/>
          <w:sz w:val="24"/>
          <w:szCs w:val="24"/>
        </w:rPr>
        <w:t xml:space="preserve"> έκδοση συμψηφιστικών ενταλμάτων από την Υπηρεσία Δημοσιονομικού Ελέγχου. Εξαιτίας όμως του γεγονότος ότι οι ανωτέρω δαπάνες εκκρεμούν από το 2012, τα δικαιολογητικά τελικά θα πρέπει να επιστραφούν στους υπολόγους και να πληρωθούν από τους ίδιους. Για να μην επιβαρυνθούν συνεπώς οι υπόλογοι με δαπάνες οι οποίες έγιναν και πληρώθηκαν κανονικά με τα σχετικά παραστατικά, προτείνεται η ρύθμιση του ζητήματος αυτού.</w:t>
      </w:r>
    </w:p>
    <w:p w:rsidR="00CE008C" w:rsidRPr="00687F57" w:rsidRDefault="00CE008C" w:rsidP="00CE008C">
      <w:pPr>
        <w:pStyle w:val="HTMLPreformatted"/>
        <w:spacing w:line="360" w:lineRule="auto"/>
        <w:jc w:val="both"/>
        <w:rPr>
          <w:rFonts w:asciiTheme="minorHAnsi" w:hAnsiTheme="minorHAnsi" w:cstheme="minorHAnsi"/>
          <w:sz w:val="24"/>
          <w:szCs w:val="24"/>
        </w:rPr>
      </w:pPr>
      <w:r w:rsidRPr="00687F57">
        <w:rPr>
          <w:rFonts w:asciiTheme="minorHAnsi" w:hAnsiTheme="minorHAnsi" w:cstheme="minorHAnsi"/>
          <w:sz w:val="24"/>
          <w:szCs w:val="24"/>
        </w:rPr>
        <w:t xml:space="preserve">Εκτός των δαπανών αυτών υπήρξαν και δαπάνες του έτους 2017 και 2018 που αφορούν πάγιες προκαταβολές του Ταμείου Γεωργίας και Κτηνοτροφίας που δεν κατέστη δυνατόν να αποκατασταθούν λόγω λήξεως της προθεσμίας αποκατάστασής τους ενώ πληρώθηκαν από τις πάγιες προκαταβολές των </w:t>
      </w:r>
      <w:r w:rsidRPr="00687F57">
        <w:rPr>
          <w:rFonts w:asciiTheme="minorHAnsi" w:hAnsiTheme="minorHAnsi" w:cstheme="minorHAnsi"/>
          <w:sz w:val="24"/>
          <w:szCs w:val="24"/>
        </w:rPr>
        <w:lastRenderedPageBreak/>
        <w:t xml:space="preserve">αποκεντρωμένων υπηρεσιών του ΥΠΑΑΤ. Η αποκατάσταση των πάγιων προκαταβολών  για το έτος 2017 όπως και η εκκαθάριση δαπανών του ΥΠΑΑΤ γενικότερα είχε ανατεθεί από </w:t>
      </w:r>
      <w:r w:rsidR="00753A95" w:rsidRPr="00687F57">
        <w:rPr>
          <w:rFonts w:asciiTheme="minorHAnsi" w:hAnsiTheme="minorHAnsi" w:cstheme="minorHAnsi"/>
          <w:sz w:val="24"/>
          <w:szCs w:val="24"/>
        </w:rPr>
        <w:t xml:space="preserve">την </w:t>
      </w:r>
      <w:r w:rsidRPr="00687F57">
        <w:rPr>
          <w:rFonts w:asciiTheme="minorHAnsi" w:hAnsiTheme="minorHAnsi" w:cstheme="minorHAnsi"/>
          <w:sz w:val="24"/>
          <w:szCs w:val="24"/>
        </w:rPr>
        <w:t>1</w:t>
      </w:r>
      <w:r w:rsidR="00CF4FA2" w:rsidRPr="00687F57">
        <w:rPr>
          <w:rFonts w:asciiTheme="minorHAnsi" w:hAnsiTheme="minorHAnsi" w:cstheme="minorHAnsi"/>
          <w:sz w:val="24"/>
          <w:szCs w:val="24"/>
          <w:vertAlign w:val="superscript"/>
        </w:rPr>
        <w:t>η</w:t>
      </w:r>
      <w:r w:rsidR="00753A95" w:rsidRPr="00687F57">
        <w:rPr>
          <w:rFonts w:asciiTheme="minorHAnsi" w:hAnsiTheme="minorHAnsi" w:cstheme="minorHAnsi"/>
          <w:sz w:val="24"/>
          <w:szCs w:val="24"/>
        </w:rPr>
        <w:t>.</w:t>
      </w:r>
      <w:r w:rsidRPr="00687F57">
        <w:rPr>
          <w:rFonts w:asciiTheme="minorHAnsi" w:hAnsiTheme="minorHAnsi" w:cstheme="minorHAnsi"/>
          <w:sz w:val="24"/>
          <w:szCs w:val="24"/>
        </w:rPr>
        <w:t>1</w:t>
      </w:r>
      <w:r w:rsidR="00753A95" w:rsidRPr="00687F57">
        <w:rPr>
          <w:rFonts w:asciiTheme="minorHAnsi" w:hAnsiTheme="minorHAnsi" w:cstheme="minorHAnsi"/>
          <w:sz w:val="24"/>
          <w:szCs w:val="24"/>
        </w:rPr>
        <w:t>.</w:t>
      </w:r>
      <w:r w:rsidRPr="00687F57">
        <w:rPr>
          <w:rFonts w:asciiTheme="minorHAnsi" w:hAnsiTheme="minorHAnsi" w:cstheme="minorHAnsi"/>
          <w:sz w:val="24"/>
          <w:szCs w:val="24"/>
        </w:rPr>
        <w:t>2017 στις Γενικές Διευθύνσεις Οικονομικών Υπηρεσιών των Υπουργείων οι οποίες ανέλαβαν τις αρμοδιότητες των Υπηρεσιών Δημοσιονομικού Ελέγχου (ΥΔΕ). Η αρμόδια για την αποκατάσταση των πάγιων προκαταβολών Διεύθυνση Οικονομικής Διαχείρισης με το υφιστάμενο προσωπικό δεν ήταν σε θέση να εκκαθαρίσει το σύνολο των φακέλων. Οι δαπάνες αυτές αφορούσαν κυρίως μικρές προμήθειες (από 100 έως 300 ευρώ) αναλωσίμων των Περιφερειακών Υπηρεσιών (για εκτυπωτικά μηχανήματα, γραφική ύλη, υλικά καθαρισμού κλπ) καθώς και υπηρεσιών (επισκευές μικρής κλίμακας που αφορούσαν είτε συντηρήσεις κτηρίων είτε εξοπλισμού).</w:t>
      </w:r>
    </w:p>
    <w:p w:rsidR="00CE008C" w:rsidRPr="00687F57" w:rsidRDefault="00CE008C" w:rsidP="00CE008C">
      <w:pPr>
        <w:pStyle w:val="HTMLPreformatted"/>
        <w:spacing w:line="360" w:lineRule="auto"/>
        <w:jc w:val="both"/>
        <w:rPr>
          <w:rFonts w:asciiTheme="minorHAnsi" w:hAnsiTheme="minorHAnsi" w:cstheme="minorHAnsi"/>
          <w:sz w:val="24"/>
          <w:szCs w:val="24"/>
        </w:rPr>
      </w:pPr>
      <w:r w:rsidRPr="00687F57">
        <w:rPr>
          <w:rFonts w:asciiTheme="minorHAnsi" w:hAnsiTheme="minorHAnsi" w:cstheme="minorHAnsi"/>
          <w:sz w:val="24"/>
          <w:szCs w:val="24"/>
        </w:rPr>
        <w:t>Το γεγονός της μη εκκαθαρίσεως των δαπανών αυτών έχει ως συνέπεια τη μη αποκατάσταση των παγίων προκαταβολών έτους 2012, 2017 και 2018 κυρίως των αποκεντρωμένων υπηρεσιών του ΥΠΑΑΤ με αποτέλεσμα τη μη απαλλαγή των υπολόγων οι οποίοι δεν φέρουν καμία ευθύνη για την τηρηθείσα διαδικασία και τη δημιουργηθείσα κατάσταση.</w:t>
      </w:r>
    </w:p>
    <w:p w:rsidR="00CE008C" w:rsidRPr="00687F57" w:rsidRDefault="00CE008C" w:rsidP="00CE008C">
      <w:pPr>
        <w:pStyle w:val="HTMLPreformatted"/>
        <w:spacing w:line="360" w:lineRule="auto"/>
        <w:jc w:val="both"/>
        <w:rPr>
          <w:rFonts w:asciiTheme="minorHAnsi" w:hAnsiTheme="minorHAnsi" w:cstheme="minorHAnsi"/>
          <w:sz w:val="24"/>
          <w:szCs w:val="24"/>
        </w:rPr>
      </w:pPr>
      <w:r w:rsidRPr="00687F57">
        <w:rPr>
          <w:rFonts w:asciiTheme="minorHAnsi" w:hAnsiTheme="minorHAnsi" w:cstheme="minorHAnsi"/>
          <w:sz w:val="24"/>
          <w:szCs w:val="24"/>
        </w:rPr>
        <w:t>Για τους ανωτέρω λόγους προτείνεται η νομοθετική ρύθμιση της παρ</w:t>
      </w:r>
      <w:r w:rsidR="00753A95" w:rsidRPr="00687F57">
        <w:rPr>
          <w:rFonts w:asciiTheme="minorHAnsi" w:hAnsiTheme="minorHAnsi" w:cstheme="minorHAnsi"/>
          <w:sz w:val="24"/>
          <w:szCs w:val="24"/>
        </w:rPr>
        <w:t>.</w:t>
      </w:r>
      <w:r w:rsidRPr="00687F57">
        <w:rPr>
          <w:rFonts w:asciiTheme="minorHAnsi" w:hAnsiTheme="minorHAnsi" w:cstheme="minorHAnsi"/>
          <w:sz w:val="24"/>
          <w:szCs w:val="24"/>
        </w:rPr>
        <w:t xml:space="preserve"> 3, προκειμένου οι δαπάνες αυτές να εκκαθαριστούν από τη Δ</w:t>
      </w:r>
      <w:r w:rsidR="00753A95" w:rsidRPr="00687F57">
        <w:rPr>
          <w:rFonts w:asciiTheme="minorHAnsi" w:hAnsiTheme="minorHAnsi" w:cstheme="minorHAnsi"/>
          <w:sz w:val="24"/>
          <w:szCs w:val="24"/>
        </w:rPr>
        <w:t>ιεύθυ</w:t>
      </w:r>
      <w:r w:rsidRPr="00687F57">
        <w:rPr>
          <w:rFonts w:asciiTheme="minorHAnsi" w:hAnsiTheme="minorHAnsi" w:cstheme="minorHAnsi"/>
          <w:sz w:val="24"/>
          <w:szCs w:val="24"/>
        </w:rPr>
        <w:t>νση Οικονομικής Διαχείρισης χωρίς περαιτέρω καθυστερήσεις δεδομένου ότι υπάρχει σοβαρότατος κίνδυνος την επόμενη περίοδο να μας χορηγεί καμία εταιρία μικροπρομήθειες</w:t>
      </w:r>
      <w:r w:rsidR="00753A95" w:rsidRPr="00687F57">
        <w:rPr>
          <w:rFonts w:asciiTheme="minorHAnsi" w:hAnsiTheme="minorHAnsi" w:cstheme="minorHAnsi"/>
          <w:sz w:val="24"/>
          <w:szCs w:val="24"/>
        </w:rPr>
        <w:t xml:space="preserve"> στο ΥΠΑΑΤ</w:t>
      </w:r>
      <w:r w:rsidRPr="00687F57">
        <w:rPr>
          <w:rFonts w:asciiTheme="minorHAnsi" w:hAnsiTheme="minorHAnsi" w:cstheme="minorHAnsi"/>
          <w:sz w:val="24"/>
          <w:szCs w:val="24"/>
        </w:rPr>
        <w:t xml:space="preserve">, με συνέπεια να </w:t>
      </w:r>
      <w:r w:rsidR="00753A95" w:rsidRPr="00687F57">
        <w:rPr>
          <w:rFonts w:asciiTheme="minorHAnsi" w:hAnsiTheme="minorHAnsi" w:cstheme="minorHAnsi"/>
          <w:sz w:val="24"/>
          <w:szCs w:val="24"/>
        </w:rPr>
        <w:t>προκληθεί</w:t>
      </w:r>
      <w:r w:rsidRPr="00687F57">
        <w:rPr>
          <w:rFonts w:asciiTheme="minorHAnsi" w:hAnsiTheme="minorHAnsi" w:cstheme="minorHAnsi"/>
          <w:sz w:val="24"/>
          <w:szCs w:val="24"/>
        </w:rPr>
        <w:t xml:space="preserve"> αναστάτωση στη διεκπεραίωση της αποστολής των περιφερειακών μας υπηρεσιών και μείωση των εσόδων του Ταμείου. Τα ποσά φακέλων προς αποκατάσταση </w:t>
      </w:r>
      <w:r w:rsidR="00753A95" w:rsidRPr="00687F57">
        <w:rPr>
          <w:rFonts w:asciiTheme="minorHAnsi" w:hAnsiTheme="minorHAnsi" w:cstheme="minorHAnsi"/>
          <w:sz w:val="24"/>
          <w:szCs w:val="24"/>
        </w:rPr>
        <w:t xml:space="preserve">των </w:t>
      </w:r>
      <w:r w:rsidRPr="00687F57">
        <w:rPr>
          <w:rFonts w:asciiTheme="minorHAnsi" w:hAnsiTheme="minorHAnsi" w:cstheme="minorHAnsi"/>
          <w:sz w:val="24"/>
          <w:szCs w:val="24"/>
        </w:rPr>
        <w:t>ετών 2012, 2017 και 2018 ανέρχονται συνολικά σε 486.365 €.</w:t>
      </w:r>
    </w:p>
    <w:p w:rsidR="0002236B" w:rsidRPr="00687F57" w:rsidRDefault="0002236B" w:rsidP="003917A8">
      <w:pPr>
        <w:pStyle w:val="HTMLPreformatted"/>
        <w:spacing w:line="360" w:lineRule="auto"/>
        <w:jc w:val="both"/>
        <w:rPr>
          <w:rFonts w:asciiTheme="minorHAnsi" w:hAnsiTheme="minorHAnsi" w:cstheme="minorHAnsi"/>
          <w:sz w:val="24"/>
          <w:szCs w:val="24"/>
        </w:rPr>
      </w:pPr>
      <w:r w:rsidRPr="00687F57">
        <w:rPr>
          <w:rFonts w:asciiTheme="minorHAnsi" w:hAnsiTheme="minorHAnsi" w:cstheme="minorHAnsi"/>
          <w:sz w:val="24"/>
          <w:szCs w:val="24"/>
        </w:rPr>
        <w:t>Με την προτεινόμενη διάταξη</w:t>
      </w:r>
      <w:r w:rsidR="00CE008C" w:rsidRPr="00687F57">
        <w:rPr>
          <w:rFonts w:asciiTheme="minorHAnsi" w:hAnsiTheme="minorHAnsi" w:cstheme="minorHAnsi"/>
          <w:sz w:val="24"/>
          <w:szCs w:val="24"/>
        </w:rPr>
        <w:t xml:space="preserve"> </w:t>
      </w:r>
      <w:r w:rsidR="00687F57">
        <w:rPr>
          <w:rFonts w:asciiTheme="minorHAnsi" w:hAnsiTheme="minorHAnsi" w:cstheme="minorHAnsi"/>
          <w:sz w:val="24"/>
          <w:szCs w:val="24"/>
        </w:rPr>
        <w:t xml:space="preserve">της παρ. </w:t>
      </w:r>
      <w:r w:rsidR="00687F57">
        <w:rPr>
          <w:rFonts w:asciiTheme="minorHAnsi" w:hAnsiTheme="minorHAnsi" w:cstheme="minorHAnsi"/>
          <w:sz w:val="24"/>
          <w:szCs w:val="24"/>
          <w:lang w:val="en-GB"/>
        </w:rPr>
        <w:t>3</w:t>
      </w:r>
      <w:r w:rsidRPr="00687F57">
        <w:rPr>
          <w:rFonts w:asciiTheme="minorHAnsi" w:hAnsiTheme="minorHAnsi" w:cstheme="minorHAnsi"/>
          <w:sz w:val="24"/>
          <w:szCs w:val="24"/>
        </w:rPr>
        <w:t xml:space="preserve"> ρυθμίζονται θέματα που αφορούν την καταβολή αποζημίωσης σε ελεγκτές που διενήργησαν ελέγχους κατά τα οικονομικά έτη 2013, 2014, 2015 και 2016, σύμφωνα με την παρ. 1 του άρθρου 14 του ν. 3460/2006 (</w:t>
      </w:r>
      <w:r w:rsidRPr="00687F57">
        <w:rPr>
          <w:rFonts w:asciiTheme="minorHAnsi" w:hAnsiTheme="minorHAnsi" w:cstheme="minorHAnsi"/>
          <w:sz w:val="24"/>
          <w:szCs w:val="24"/>
          <w:lang w:val="en-US"/>
        </w:rPr>
        <w:t>A</w:t>
      </w:r>
      <w:r w:rsidR="00753A95" w:rsidRPr="00687F57">
        <w:rPr>
          <w:rFonts w:asciiTheme="minorHAnsi" w:hAnsiTheme="minorHAnsi" w:cstheme="minorHAnsi"/>
          <w:sz w:val="24"/>
          <w:szCs w:val="24"/>
        </w:rPr>
        <w:t>’</w:t>
      </w:r>
      <w:r w:rsidRPr="00687F57">
        <w:rPr>
          <w:rFonts w:asciiTheme="minorHAnsi" w:hAnsiTheme="minorHAnsi" w:cstheme="minorHAnsi"/>
          <w:sz w:val="24"/>
          <w:szCs w:val="24"/>
        </w:rPr>
        <w:t xml:space="preserve"> 105), όπως αυτή τροποποιήθηκε με την παρ. 1 του άρθρου 27 του ν. 3698/2008 (Α΄ 198). Ειδικότερα: </w:t>
      </w:r>
    </w:p>
    <w:p w:rsidR="0002236B" w:rsidRPr="00687F57" w:rsidRDefault="0002236B" w:rsidP="003917A8">
      <w:pPr>
        <w:spacing w:line="360" w:lineRule="auto"/>
        <w:jc w:val="both"/>
        <w:rPr>
          <w:rFonts w:asciiTheme="minorHAnsi" w:hAnsiTheme="minorHAnsi" w:cstheme="minorHAnsi"/>
        </w:rPr>
      </w:pPr>
      <w:r w:rsidRPr="00687F57">
        <w:rPr>
          <w:rFonts w:asciiTheme="minorHAnsi" w:hAnsiTheme="minorHAnsi" w:cstheme="minorHAnsi"/>
        </w:rPr>
        <w:t xml:space="preserve">α) Μέχρι σήμερα δεν έχει καταστεί δυνατή η πληρωμή των αποζημιώσεων σε ελεγκτές που διενήργησαν ελέγχους κατά τα οικονομικά έτη 2013, 2014, 2015 και 2016, διότι έχουν ανακύψει ζητήματα σχετικά με την παραγραφή των απαιτήσεων. </w:t>
      </w:r>
    </w:p>
    <w:p w:rsidR="0002236B" w:rsidRPr="00687F57" w:rsidRDefault="0002236B" w:rsidP="003917A8">
      <w:pPr>
        <w:pStyle w:val="HTMLPreformatted"/>
        <w:spacing w:line="360" w:lineRule="auto"/>
        <w:jc w:val="both"/>
        <w:rPr>
          <w:rFonts w:asciiTheme="minorHAnsi" w:hAnsiTheme="minorHAnsi" w:cstheme="minorHAnsi"/>
          <w:sz w:val="24"/>
          <w:szCs w:val="24"/>
        </w:rPr>
      </w:pPr>
      <w:r w:rsidRPr="00687F57">
        <w:rPr>
          <w:rFonts w:asciiTheme="minorHAnsi" w:hAnsiTheme="minorHAnsi" w:cstheme="minorHAnsi"/>
          <w:sz w:val="24"/>
          <w:szCs w:val="24"/>
        </w:rPr>
        <w:lastRenderedPageBreak/>
        <w:t>β) Οι εν λόγω έλεγχοι αφορούν την κτηνιατρική υγειονομική επιθεώρηση και τον έλεγχο των ζώων και των ζωικών προϊόντων, την φυτοϋγειονομική επιθεώρηση και τον φυτοϋγειονομικό έλεγχο των φυτών και των φυτικών προϊόντων ή άλλων αντικειμένων, την επιθεώρηση και τον έλεγχο ποιότητας και καταλληλότητας των τροφίμων φυτικής προέλευσης</w:t>
      </w:r>
      <w:r w:rsidR="00753A95" w:rsidRPr="00687F57">
        <w:rPr>
          <w:rFonts w:asciiTheme="minorHAnsi" w:hAnsiTheme="minorHAnsi" w:cstheme="minorHAnsi"/>
          <w:sz w:val="24"/>
          <w:szCs w:val="24"/>
        </w:rPr>
        <w:t>,</w:t>
      </w:r>
      <w:r w:rsidRPr="00687F57">
        <w:rPr>
          <w:rFonts w:asciiTheme="minorHAnsi" w:hAnsiTheme="minorHAnsi" w:cstheme="minorHAnsi"/>
          <w:sz w:val="24"/>
          <w:szCs w:val="24"/>
        </w:rPr>
        <w:t xml:space="preserve"> καθώς και τον έλεγχο των ζωοτροφών.</w:t>
      </w:r>
    </w:p>
    <w:p w:rsidR="0002236B" w:rsidRPr="00687F57" w:rsidRDefault="0002236B" w:rsidP="003917A8">
      <w:pPr>
        <w:spacing w:line="360" w:lineRule="auto"/>
        <w:jc w:val="both"/>
        <w:rPr>
          <w:rFonts w:asciiTheme="minorHAnsi" w:hAnsiTheme="minorHAnsi" w:cstheme="minorHAnsi"/>
        </w:rPr>
      </w:pPr>
      <w:r w:rsidRPr="00687F57">
        <w:rPr>
          <w:rFonts w:asciiTheme="minorHAnsi" w:hAnsiTheme="minorHAnsi" w:cstheme="minorHAnsi"/>
        </w:rPr>
        <w:t>Κατόπιν των ανωτέρω, προτείνεται η υπόψη διάταξη για να προβλεφθεί ρητά ότι οι δαπάνες για τους εν λόγω ελέγχους των Περιφερειών, οι οποίες προέκυψαν κατά τα οικονομικά έτη 2013, 2014, 2015 και 2016, εκκαθαρίζονται σε βάρος των πιστώσεων του προϋπολογισμού των οικείων Περιφερειών έτους 2020, κατά παρέκκλιση κάθε γενικής ή ειδικής διάταξης, καθώς και των διατάξεων περί παραγραφής (ν. 2362/1995, Α΄ 247 και ν. 4270/2014, Α΄ 143).</w:t>
      </w:r>
    </w:p>
    <w:p w:rsidR="0002236B" w:rsidRPr="00687F57" w:rsidRDefault="0002236B" w:rsidP="003917A8">
      <w:pPr>
        <w:spacing w:line="360" w:lineRule="auto"/>
        <w:jc w:val="both"/>
        <w:rPr>
          <w:rFonts w:asciiTheme="minorHAnsi" w:hAnsiTheme="minorHAnsi" w:cstheme="minorHAnsi"/>
        </w:rPr>
      </w:pPr>
    </w:p>
    <w:p w:rsidR="0002236B" w:rsidRPr="00687F57" w:rsidRDefault="0002236B" w:rsidP="007C1BEA">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1</w:t>
      </w:r>
      <w:r w:rsidR="005E0F67" w:rsidRPr="00687F57">
        <w:rPr>
          <w:rFonts w:asciiTheme="minorHAnsi" w:hAnsiTheme="minorHAnsi" w:cstheme="minorHAnsi"/>
          <w:b/>
          <w:bCs/>
        </w:rPr>
        <w:t>9</w:t>
      </w:r>
    </w:p>
    <w:p w:rsidR="0002236B" w:rsidRPr="00687F57" w:rsidRDefault="0002236B" w:rsidP="00687F57">
      <w:pPr>
        <w:spacing w:line="360" w:lineRule="auto"/>
        <w:rPr>
          <w:rFonts w:asciiTheme="minorHAnsi" w:hAnsiTheme="minorHAnsi" w:cstheme="minorHAnsi"/>
          <w:b/>
          <w:lang w:val="en-GB"/>
        </w:rPr>
      </w:pPr>
      <w:r w:rsidRPr="00687F57">
        <w:rPr>
          <w:rFonts w:asciiTheme="minorHAnsi" w:hAnsiTheme="minorHAnsi" w:cstheme="minorHAnsi"/>
          <w:b/>
        </w:rPr>
        <w:t>Δαπάνες προγραμμάτων βρουκέλλωσης και σπογγώδους εγκεφαλοπάθειας</w:t>
      </w:r>
    </w:p>
    <w:p w:rsidR="0002236B" w:rsidRPr="00687F57" w:rsidRDefault="0002236B" w:rsidP="007A5F87">
      <w:pPr>
        <w:spacing w:line="360" w:lineRule="auto"/>
        <w:jc w:val="both"/>
        <w:rPr>
          <w:rFonts w:asciiTheme="minorHAnsi" w:hAnsiTheme="minorHAnsi" w:cstheme="minorHAnsi"/>
        </w:rPr>
      </w:pPr>
      <w:r w:rsidRPr="00687F57">
        <w:rPr>
          <w:rFonts w:asciiTheme="minorHAnsi" w:hAnsiTheme="minorHAnsi" w:cstheme="minorHAnsi"/>
        </w:rPr>
        <w:t>Με την προτεινόμενη διάταξη της παρ. 1 ρυθμίζεται η καταβολή της αμοιβής των ιδιωτών κτηνιάτρων εκτροφής, οι οποίοι προσλήφθηκαν από τις Περιφέρειες  της χώρας με σύναψη σύμβασης για την εφαρμογή του προγράμματος ελέγχου και εκρίζωσης της βρουκέλλωσης των αιγοπροβάτων και των αγελαίων βοοειδών (REV-1) έτους 2016, στ</w:t>
      </w:r>
      <w:r w:rsidR="00753A95" w:rsidRPr="00687F57">
        <w:rPr>
          <w:rFonts w:asciiTheme="minorHAnsi" w:hAnsiTheme="minorHAnsi" w:cstheme="minorHAnsi"/>
        </w:rPr>
        <w:t>ο</w:t>
      </w:r>
      <w:r w:rsidRPr="00687F57">
        <w:rPr>
          <w:rFonts w:asciiTheme="minorHAnsi" w:hAnsiTheme="minorHAnsi" w:cstheme="minorHAnsi"/>
        </w:rPr>
        <w:t xml:space="preserve"> πλαίσι</w:t>
      </w:r>
      <w:r w:rsidR="00753A95" w:rsidRPr="00687F57">
        <w:rPr>
          <w:rFonts w:asciiTheme="minorHAnsi" w:hAnsiTheme="minorHAnsi" w:cstheme="minorHAnsi"/>
        </w:rPr>
        <w:t>ο</w:t>
      </w:r>
      <w:r w:rsidRPr="00687F57">
        <w:rPr>
          <w:rFonts w:asciiTheme="minorHAnsi" w:hAnsiTheme="minorHAnsi" w:cstheme="minorHAnsi"/>
        </w:rPr>
        <w:t xml:space="preserve"> του προγράμματος της εξυγίανσης του ζωικού κεφαλαίου της χώρας </w:t>
      </w:r>
      <w:r w:rsidR="00753A95" w:rsidRPr="00687F57">
        <w:rPr>
          <w:rFonts w:asciiTheme="minorHAnsi" w:hAnsiTheme="minorHAnsi" w:cstheme="minorHAnsi"/>
        </w:rPr>
        <w:t xml:space="preserve">του </w:t>
      </w:r>
      <w:r w:rsidRPr="00687F57">
        <w:rPr>
          <w:rFonts w:asciiTheme="minorHAnsi" w:hAnsiTheme="minorHAnsi" w:cstheme="minorHAnsi"/>
        </w:rPr>
        <w:t>έτους 2016, όπως αυτό εγκρίθηκε  με την υπ’ αρ. 1677/65137/06.06.2016 κοινή υπουργική απόφαση (Β΄ 1639) και σε εφαρμογή της υπ’ αρ. 1506/59229/20.05.2016 υπουργικής απόφασης (Β΄ 1502). Ειδικότερα, οι κτηνίατροι προσλήφθηκαν από τις Περιφέρειες, εκτέλεσαν το έργο τους, εξέδωσαν τιμολόγια για το έτος 2016, αλλά η σχετική δαπάνη της αμοιβής τους, συνολικού ύψους 43.269,73€, μεταφέρθηκε από το Υπουργείο Αγροτικής Ανάπτυξης και Τροφίμων στις Περιφέρειες μέσω των Αποκεντρωμένων Διοικήσεων της χώρας στα μέσα του οικονομικού έτους 2017, με αποτέλεσμα λόγω των διατάξεων του ν. 4270/2014 (Α΄ 143) και του π.δ. 80/2016 (Α΄145) περί ανάληψης υποχρεώσεων από τους διατάκτες, να μην είναι δυνατή η πληρωμή τους από τις Περιφέρειες.</w:t>
      </w:r>
    </w:p>
    <w:p w:rsidR="0002236B" w:rsidRPr="00687F57" w:rsidRDefault="0002236B" w:rsidP="007A5F87">
      <w:pPr>
        <w:spacing w:line="360" w:lineRule="auto"/>
        <w:jc w:val="both"/>
        <w:rPr>
          <w:rFonts w:asciiTheme="minorHAnsi" w:hAnsiTheme="minorHAnsi" w:cstheme="minorHAnsi"/>
        </w:rPr>
      </w:pPr>
      <w:r w:rsidRPr="00687F57">
        <w:rPr>
          <w:rFonts w:asciiTheme="minorHAnsi" w:hAnsiTheme="minorHAnsi" w:cstheme="minorHAnsi"/>
        </w:rPr>
        <w:t xml:space="preserve">Με την προτεινόμενη ρύθμιση δίνεται η δυνατότητα καταβολής της αμοιβής τους,  χωρίς επιβάρυνση του προϋπολογισμού του Υπουργείου Αγροτικής Ανάπτυξης και Τροφίμων ή των Περιφερειών, δεδομένου ότι οι σχετικές πιστώσεις έχουν </w:t>
      </w:r>
      <w:r w:rsidRPr="00687F57">
        <w:rPr>
          <w:rFonts w:asciiTheme="minorHAnsi" w:hAnsiTheme="minorHAnsi" w:cstheme="minorHAnsi"/>
        </w:rPr>
        <w:lastRenderedPageBreak/>
        <w:t>μεταφερθεί αλλά δεν είναι δυνατόν να καταβληθούν. Κατόπιν των ανωτέρω, προτείνεται η υπόψη διάταξη για να προβλεφθεί ρητά ότι οι ανωτέρω δαπάνες εκκαθαρίζονται σε βάρος των πιστώσεων του προϋπολογισμού των οικείων Περιφερειών έτους 2020, κατά παρέκκλιση κάθε γενικής ή ειδικής διάταξης, καθώς και των διατάξεων περί παραγραφής.</w:t>
      </w:r>
    </w:p>
    <w:p w:rsidR="0002236B" w:rsidRPr="00687F57" w:rsidRDefault="0002236B" w:rsidP="00E375F0">
      <w:pPr>
        <w:spacing w:line="360" w:lineRule="auto"/>
        <w:jc w:val="both"/>
        <w:rPr>
          <w:rFonts w:asciiTheme="minorHAnsi" w:hAnsiTheme="minorHAnsi" w:cstheme="minorHAnsi"/>
        </w:rPr>
      </w:pPr>
      <w:r w:rsidRPr="00687F57">
        <w:rPr>
          <w:rFonts w:asciiTheme="minorHAnsi" w:hAnsiTheme="minorHAnsi" w:cstheme="minorHAnsi"/>
        </w:rPr>
        <w:t>Η διάταξη της παρ. 2 προτείνεται στο πλαίσιο εφαρμογής ευρύτερων ενωσιακών κανόνων για την πρόληψη, καταπολέμηση και εξάλειψη ορισμένων μεταδοτικών σπογγωδών εγκεφαλοπαθειών (ΜΣΕ) στα ζώα, με την εφαρμογή ετήσιων προγραμμάτων επιτήρησης, τα οποία κατευθύνονται στη συστηματική έρευνα και εργαστηριακή διάγνωση της σπογγώδους εγκεφαλοπάθειας με εφαρμογή κατάλληλων εργαστηριακών τεχνικών στο</w:t>
      </w:r>
      <w:r w:rsidR="004959D0" w:rsidRPr="00687F57">
        <w:rPr>
          <w:rFonts w:asciiTheme="minorHAnsi" w:hAnsiTheme="minorHAnsi" w:cstheme="minorHAnsi"/>
        </w:rPr>
        <w:t>ν</w:t>
      </w:r>
      <w:r w:rsidRPr="00687F57">
        <w:rPr>
          <w:rFonts w:asciiTheme="minorHAnsi" w:hAnsiTheme="minorHAnsi" w:cstheme="minorHAnsi"/>
        </w:rPr>
        <w:t xml:space="preserve"> ζωικό πληθυσμό της χώρας. </w:t>
      </w:r>
    </w:p>
    <w:p w:rsidR="0002236B" w:rsidRPr="00687F57" w:rsidRDefault="0002236B" w:rsidP="00E375F0">
      <w:pPr>
        <w:spacing w:line="360" w:lineRule="auto"/>
        <w:jc w:val="both"/>
        <w:rPr>
          <w:rFonts w:asciiTheme="minorHAnsi" w:hAnsiTheme="minorHAnsi" w:cstheme="minorHAnsi"/>
        </w:rPr>
      </w:pPr>
      <w:r w:rsidRPr="00687F57">
        <w:rPr>
          <w:rFonts w:asciiTheme="minorHAnsi" w:hAnsiTheme="minorHAnsi" w:cstheme="minorHAnsi"/>
        </w:rPr>
        <w:t>Με την προτεινόμενη διάταξη προβλέπεται η καταβολή της επιχορήγησης που δικαιούνταν</w:t>
      </w:r>
      <w:r w:rsidR="004959D0" w:rsidRPr="00687F57">
        <w:rPr>
          <w:rFonts w:asciiTheme="minorHAnsi" w:hAnsiTheme="minorHAnsi" w:cstheme="minorHAnsi"/>
        </w:rPr>
        <w:t>,</w:t>
      </w:r>
      <w:r w:rsidRPr="00687F57">
        <w:rPr>
          <w:rFonts w:asciiTheme="minorHAnsi" w:hAnsiTheme="minorHAnsi" w:cstheme="minorHAnsi"/>
        </w:rPr>
        <w:t xml:space="preserve"> υπό τη μορφή κινήτρου, οι κτηνοτρόφοι κατά τα έτη 2014 και 2015 για τη συμμετοχή τους στην εφαρμογή προγραμμάτων επιτήρησης ΜΣΕ και ΣΕΒ (σπογγώδης εγκεφαλοπάθεια βοοειδών) ανεξάρτητα αν δείγματα νεκρών ζώων εξετάσθηκαν ή όχι για ΣΕΒ ή ΜΣΕ. Ειδικότερα, σύμφωνα με τις υπουργικές αποφάσεις περί οικονομικών αποζημιώσεων και ενισχύσεων λόγω επιβολής κτηνιατρικών μέτρων εξυγίανσης του ζωικού κεφαλαίου κατά τα έτη 2011 έως και 2016, κρίθηκαν ως επιλέξιμες οι δαπάνες για την επιχορήγηση των εκτροφέων βοοειδών, προβάτων ή αιγών εφόσον προσκόμισαν στις αρμόδιες κτηνιατρικές αρχές νεκρά ζώα ηλικίας άνω των 24 ή 48 μηνών για τα βοοειδή και άνω των 18 μηνών για τις αίγες και τα πρόβατα, ανεξαρτήτως αιτιολογίας θανάτου και εφόσον δεν παρήλθαν 48 ώρες από το</w:t>
      </w:r>
      <w:r w:rsidR="004959D0" w:rsidRPr="00687F57">
        <w:rPr>
          <w:rFonts w:asciiTheme="minorHAnsi" w:hAnsiTheme="minorHAnsi" w:cstheme="minorHAnsi"/>
        </w:rPr>
        <w:t>ν</w:t>
      </w:r>
      <w:r w:rsidRPr="00687F57">
        <w:rPr>
          <w:rFonts w:asciiTheme="minorHAnsi" w:hAnsiTheme="minorHAnsi" w:cstheme="minorHAnsi"/>
        </w:rPr>
        <w:t xml:space="preserve"> θάνατ</w:t>
      </w:r>
      <w:r w:rsidR="004959D0" w:rsidRPr="00687F57">
        <w:rPr>
          <w:rFonts w:asciiTheme="minorHAnsi" w:hAnsiTheme="minorHAnsi" w:cstheme="minorHAnsi"/>
        </w:rPr>
        <w:t>ό</w:t>
      </w:r>
      <w:r w:rsidRPr="00687F57">
        <w:rPr>
          <w:rFonts w:asciiTheme="minorHAnsi" w:hAnsiTheme="minorHAnsi" w:cstheme="minorHAnsi"/>
        </w:rPr>
        <w:t xml:space="preserve"> τους, προκειμένου να εξεταστούν για ΜΣΕ. Το ποσό επιχορήγησης καθορίστηκε σε εκατόν είκοσι ευρώ για τα βοοειδή και σε τριάντα ευρώ για τα αιγοπρόβατα. Στην παρ. 1 του άρθρου 13 των ανωτέρω κοινών υπουργικών αποφάσεων περί προϋποθέσεων και δικαιολογητικών για την καταβολή στους δικαιούχους της επιχορήγησης που προκύπτει από τη δήλωση νεκρών ζώων, προβλέπεται η κατάρτιση από την αρμόδια κτηνιατρική αρχή κατάστασης πληρωμής των δικαιούχων με τα αναλογούντα ποσά, βάσει των αναλυτικών στοιχείων των νεκρών ζώων που δειγματίζονται και εξετάζονται εργαστηριακά. Ως εκ τούτου, για την καταβολή του ποσού επιχορήγησης που </w:t>
      </w:r>
      <w:r w:rsidRPr="00687F57">
        <w:rPr>
          <w:rFonts w:asciiTheme="minorHAnsi" w:hAnsiTheme="minorHAnsi" w:cstheme="minorHAnsi"/>
        </w:rPr>
        <w:lastRenderedPageBreak/>
        <w:t>προκύπτει από τη δήλωση νεκρών ζώων προβλέπεται η ολοκλήρωση της δειγματοληψίας και της εργαστηριακής εξέτασης των δειγμάτων.</w:t>
      </w:r>
    </w:p>
    <w:p w:rsidR="0002236B" w:rsidRPr="00687F57" w:rsidRDefault="0002236B" w:rsidP="00E375F0">
      <w:pPr>
        <w:spacing w:line="360" w:lineRule="auto"/>
        <w:jc w:val="both"/>
        <w:rPr>
          <w:rFonts w:asciiTheme="minorHAnsi" w:hAnsiTheme="minorHAnsi" w:cstheme="minorHAnsi"/>
        </w:rPr>
      </w:pPr>
      <w:r w:rsidRPr="00687F57">
        <w:rPr>
          <w:rFonts w:asciiTheme="minorHAnsi" w:hAnsiTheme="minorHAnsi" w:cstheme="minorHAnsi"/>
        </w:rPr>
        <w:t>Κατά τα έτη 2014 και 2015, ένας αριθμός δειγμάτων (6.583  στο σύνολο, εκ των οποίων 601 βοοειδή, 5.514 πρόβατα και 468 αίγες) από νεκρά ζώα στην περιφερειακή ενότητα Λάρισας, δεν υπεβλήθη σε εργαστηριακή εξέταση στο Κτηνιατρικό Εργαστήριο Ιωαννίνων λόγω έλλειψης των κατάλληλων αντιδραστηρίων. Τα δείγματα αυτά καταστράφηκαν το Νοέμβριο του 2016. Με την προτεινόμενη ρύθμιση δίνεται η δυνατότητα καταβολής επιχορήγησης για τη συμμετοχή των κτηνοτρόφων στα προγράμματα επιτήρησης, ανεξαρτήτως εάν τα προσκομιζόμενα από αυτούς προς τις κτηνιατρικές αρχές δείγματα νεκρών ζώων εξετάσθηκαν τελικώς εργαστηριακά για ΣΕΒ ή ΜΣΕ, δεδομένης της αποσύνδεσης της επιχορήγησης από την τεκμηρίωση διενέργειας των εργαστηριακών εξετάσεων, μιας και η πραγματοποίησή τους ή μη δεν οφείλεται σε υπαιτιότητα των κτηνοτρόφων. Επισημαίνεται ότι στην αριθμ. 1970/66273/2017 κοινή υπουργική απόφαση (Β΄ 2193) για το πρόγραμμα αποζημιώσεων έτους 2017 προβλέπεται η αποσύνδεση της επιχορήγησης από την τεκμηρίωση διενέργειας των εργαστηριακών εξετάσεων και στις προβλεπόμενες προϋποθέσεις – δικαιολογητικά περιλαμβάνεται μόνο η τεκμηρίωση της δειγματοληψίας.</w:t>
      </w:r>
    </w:p>
    <w:p w:rsidR="0002236B" w:rsidRPr="00687F57" w:rsidRDefault="0002236B" w:rsidP="007A5F87">
      <w:pPr>
        <w:spacing w:line="360" w:lineRule="auto"/>
        <w:jc w:val="both"/>
        <w:rPr>
          <w:rFonts w:asciiTheme="minorHAnsi" w:hAnsiTheme="minorHAnsi" w:cstheme="minorHAnsi"/>
        </w:rPr>
      </w:pPr>
    </w:p>
    <w:p w:rsidR="0002236B" w:rsidRPr="00687F57" w:rsidRDefault="0002236B" w:rsidP="007C1BEA">
      <w:pPr>
        <w:spacing w:line="360" w:lineRule="auto"/>
        <w:outlineLvl w:val="0"/>
        <w:rPr>
          <w:rFonts w:asciiTheme="minorHAnsi" w:hAnsiTheme="minorHAnsi" w:cstheme="minorHAnsi"/>
          <w:b/>
          <w:bCs/>
        </w:rPr>
      </w:pPr>
      <w:r w:rsidRPr="00687F57">
        <w:rPr>
          <w:rFonts w:asciiTheme="minorHAnsi" w:hAnsiTheme="minorHAnsi" w:cstheme="minorHAnsi"/>
          <w:b/>
          <w:bCs/>
        </w:rPr>
        <w:t xml:space="preserve">Επί του άρθρου </w:t>
      </w:r>
      <w:r w:rsidR="005E0F67" w:rsidRPr="00687F57">
        <w:rPr>
          <w:rFonts w:asciiTheme="minorHAnsi" w:hAnsiTheme="minorHAnsi" w:cstheme="minorHAnsi"/>
          <w:b/>
          <w:bCs/>
        </w:rPr>
        <w:t>20</w:t>
      </w:r>
    </w:p>
    <w:p w:rsidR="0002236B" w:rsidRPr="00687F57" w:rsidRDefault="0002236B" w:rsidP="00687F57">
      <w:pPr>
        <w:spacing w:line="360" w:lineRule="auto"/>
        <w:rPr>
          <w:rFonts w:asciiTheme="minorHAnsi" w:hAnsiTheme="minorHAnsi" w:cstheme="minorHAnsi"/>
          <w:b/>
          <w:bCs/>
          <w:lang w:val="en-GB"/>
        </w:rPr>
      </w:pPr>
      <w:r w:rsidRPr="00687F57">
        <w:rPr>
          <w:rFonts w:asciiTheme="minorHAnsi" w:hAnsiTheme="minorHAnsi" w:cstheme="minorHAnsi"/>
          <w:b/>
          <w:bCs/>
        </w:rPr>
        <w:t xml:space="preserve">Επίδοση διοικητικών εγγράφων – Ερευνητικό προσωπικό </w:t>
      </w:r>
    </w:p>
    <w:p w:rsidR="0002236B" w:rsidRPr="00687F57" w:rsidRDefault="0002236B" w:rsidP="002A1FFA">
      <w:pPr>
        <w:spacing w:line="360" w:lineRule="auto"/>
        <w:jc w:val="both"/>
        <w:rPr>
          <w:rFonts w:asciiTheme="minorHAnsi" w:hAnsiTheme="minorHAnsi" w:cstheme="minorHAnsi"/>
          <w:bCs/>
        </w:rPr>
      </w:pPr>
      <w:r w:rsidRPr="00687F57">
        <w:rPr>
          <w:rFonts w:asciiTheme="minorHAnsi" w:hAnsiTheme="minorHAnsi" w:cstheme="minorHAnsi"/>
          <w:bCs/>
        </w:rPr>
        <w:t xml:space="preserve">Στην ειδική έκθεση του Συνηγόρου του Πολίτη με θέμα «Ενισχύσεις και Πρωτογενής Παραγωγή έτους 2019» προτείνεται η θέσπιση συγκεκριμένων διατάξεων νόμου ή κανονιστικών πράξεων που να προβλέπουν ρητά τον τρόπο και τα μέσα κοινοποίησης των διοικητικών πράξεων επιβολής κυρώσεων. </w:t>
      </w:r>
    </w:p>
    <w:p w:rsidR="0002236B" w:rsidRPr="00687F57" w:rsidRDefault="004959D0" w:rsidP="002A1FFA">
      <w:pPr>
        <w:spacing w:line="360" w:lineRule="auto"/>
        <w:jc w:val="both"/>
        <w:rPr>
          <w:rFonts w:asciiTheme="minorHAnsi" w:hAnsiTheme="minorHAnsi" w:cstheme="minorHAnsi"/>
          <w:bCs/>
        </w:rPr>
      </w:pPr>
      <w:r w:rsidRPr="00687F57">
        <w:rPr>
          <w:rFonts w:asciiTheme="minorHAnsi" w:hAnsiTheme="minorHAnsi" w:cstheme="minorHAnsi"/>
          <w:bCs/>
        </w:rPr>
        <w:t>Εξάλλου, ο</w:t>
      </w:r>
      <w:r w:rsidR="0002236B" w:rsidRPr="00687F57">
        <w:rPr>
          <w:rFonts w:asciiTheme="minorHAnsi" w:hAnsiTheme="minorHAnsi" w:cstheme="minorHAnsi"/>
          <w:bCs/>
        </w:rPr>
        <w:t>ι επιδόσεις των υπουργικών αποφάσεων και των έγγραφων προσκλήσεων για την επιστροφή παρανόμως και αχρεωστήτως καταβληθέντων, καθώς και για τις οφειλές από τις διοικητικές κυρώσεις, έχουν υψηλό διοικητικό και οικονομικό κόστος για το κράτος. Σε πολλές περιπτώσεις το συνολικό οικονομικό και διοικητικό κόστος επίδοσης είναι δυσανάλογο ως προς το συνολικό όφελος που αποκομίζει το κράτος από τα ανακτώμενα χρηματικά ποσά.</w:t>
      </w:r>
    </w:p>
    <w:p w:rsidR="0002236B" w:rsidRPr="00687F57" w:rsidRDefault="0002236B" w:rsidP="002A1FFA">
      <w:pPr>
        <w:spacing w:line="360" w:lineRule="auto"/>
        <w:jc w:val="both"/>
        <w:rPr>
          <w:rFonts w:asciiTheme="minorHAnsi" w:hAnsiTheme="minorHAnsi" w:cstheme="minorHAnsi"/>
          <w:bCs/>
        </w:rPr>
      </w:pPr>
      <w:r w:rsidRPr="00687F57">
        <w:rPr>
          <w:rFonts w:asciiTheme="minorHAnsi" w:hAnsiTheme="minorHAnsi" w:cstheme="minorHAnsi"/>
          <w:bCs/>
        </w:rPr>
        <w:lastRenderedPageBreak/>
        <w:t xml:space="preserve">Με την προτεινόμενη παρ. 1 προτείνεται η τροποποίηση της παρ. 2 του άρθρου 28 του ν. 2520/1997, προκειμένου να προβλεφθεί ότι οι αποφάσεις επιστροφής αχρεωστήτως καταβληθέντων ποσών, λόγω μη τηρήσεως </w:t>
      </w:r>
      <w:r w:rsidR="004959D0" w:rsidRPr="00687F57">
        <w:rPr>
          <w:rFonts w:asciiTheme="minorHAnsi" w:hAnsiTheme="minorHAnsi" w:cstheme="minorHAnsi"/>
          <w:bCs/>
        </w:rPr>
        <w:t xml:space="preserve">ενωσιακών </w:t>
      </w:r>
      <w:r w:rsidRPr="00687F57">
        <w:rPr>
          <w:rFonts w:asciiTheme="minorHAnsi" w:hAnsiTheme="minorHAnsi" w:cstheme="minorHAnsi"/>
          <w:bCs/>
        </w:rPr>
        <w:t>ή εθνικών διατάξεων, σε βάρος του Ειδικού Λογαριασμού Εγγυήσεων Γεωργικών Προϊόντων (Ε.Λ.Ε.ΓΕ.Π.), οι αποφάσεις επιβολής συναφών διοικητικών κυρώσεων και οι σχετικές προσκλήσεις για τη διατύπωση παρατηρήσεων επιδίδονται σύμφωνα με τον Κώδικα Φορολογικής Διαδικασίας (ν. 4174/2013, Α΄ 170). Η προτεινόμενη ρύθμιση συμβά</w:t>
      </w:r>
      <w:r w:rsidR="004959D0" w:rsidRPr="00687F57">
        <w:rPr>
          <w:rFonts w:asciiTheme="minorHAnsi" w:hAnsiTheme="minorHAnsi" w:cstheme="minorHAnsi"/>
          <w:bCs/>
        </w:rPr>
        <w:t>λ</w:t>
      </w:r>
      <w:r w:rsidRPr="00687F57">
        <w:rPr>
          <w:rFonts w:asciiTheme="minorHAnsi" w:hAnsiTheme="minorHAnsi" w:cstheme="minorHAnsi"/>
          <w:bCs/>
        </w:rPr>
        <w:t>λει στη μείωση του διοικητικού και οικονομικού κόστους και επιταχύνει τις διαδικασίες επίδοσης των σχετικών υπουργικών αποφάσεων και των έγγραφων προσκλήσεων, δεδομένου ότι στο άρθρο 5 του Κώδικα Φορολογικής Διαδικασίας προβλέπεται και η δυνατότητα ηλεκτρονικής επίδοσης</w:t>
      </w:r>
      <w:r w:rsidR="004959D0" w:rsidRPr="00687F57">
        <w:rPr>
          <w:rFonts w:asciiTheme="minorHAnsi" w:hAnsiTheme="minorHAnsi" w:cstheme="minorHAnsi"/>
          <w:bCs/>
        </w:rPr>
        <w:t>,</w:t>
      </w:r>
      <w:r w:rsidRPr="00687F57">
        <w:rPr>
          <w:rFonts w:asciiTheme="minorHAnsi" w:hAnsiTheme="minorHAnsi" w:cstheme="minorHAnsi"/>
          <w:bCs/>
        </w:rPr>
        <w:t xml:space="preserve"> η οποία διευκολύνει σημαντικά τη διοικητική διεκπεραίωση των υποθέσεων αυτών. Τέλος προβλέπεται εξουσιοδοτική διάταξη στον Υπουργό Αγροτικής Ανάπτυξης και Τροφίμων για τη ρύθμιση των τεχνικών λεπτομερειών και θεμάτων εφαρμογής της προτεινόμενης διάταξης.</w:t>
      </w:r>
    </w:p>
    <w:p w:rsidR="0002236B" w:rsidRPr="00687F57" w:rsidRDefault="0002236B" w:rsidP="001F0A52">
      <w:pPr>
        <w:spacing w:line="360" w:lineRule="auto"/>
        <w:jc w:val="both"/>
        <w:rPr>
          <w:rFonts w:asciiTheme="minorHAnsi" w:hAnsiTheme="minorHAnsi" w:cstheme="minorHAnsi"/>
          <w:bCs/>
        </w:rPr>
      </w:pPr>
      <w:r w:rsidRPr="00687F57">
        <w:rPr>
          <w:rFonts w:asciiTheme="minorHAnsi" w:hAnsiTheme="minorHAnsi" w:cstheme="minorHAnsi"/>
          <w:bCs/>
        </w:rPr>
        <w:t>Με την προτεινόμενη παρ. 2 ρυθμίζεται η επέκταση των ρυθμίσεων και στους ερευνητές του Μ</w:t>
      </w:r>
      <w:r w:rsidR="004959D0" w:rsidRPr="00687F57">
        <w:rPr>
          <w:rFonts w:asciiTheme="minorHAnsi" w:hAnsiTheme="minorHAnsi" w:cstheme="minorHAnsi"/>
          <w:bCs/>
        </w:rPr>
        <w:t xml:space="preserve">πενάκειου </w:t>
      </w:r>
      <w:r w:rsidRPr="00687F57">
        <w:rPr>
          <w:rFonts w:asciiTheme="minorHAnsi" w:hAnsiTheme="minorHAnsi" w:cstheme="minorHAnsi"/>
          <w:bCs/>
        </w:rPr>
        <w:t>Φ</w:t>
      </w:r>
      <w:r w:rsidR="004959D0" w:rsidRPr="00687F57">
        <w:rPr>
          <w:rFonts w:asciiTheme="minorHAnsi" w:hAnsiTheme="minorHAnsi" w:cstheme="minorHAnsi"/>
          <w:bCs/>
        </w:rPr>
        <w:t>υτοπαθολογικού Ινστιτούτου</w:t>
      </w:r>
      <w:r w:rsidRPr="00687F57">
        <w:rPr>
          <w:rFonts w:asciiTheme="minorHAnsi" w:hAnsiTheme="minorHAnsi" w:cstheme="minorHAnsi"/>
          <w:bCs/>
        </w:rPr>
        <w:t xml:space="preserve"> </w:t>
      </w:r>
      <w:r w:rsidR="00EE0ACF" w:rsidRPr="00687F57">
        <w:rPr>
          <w:rFonts w:asciiTheme="minorHAnsi" w:hAnsiTheme="minorHAnsi" w:cstheme="minorHAnsi"/>
          <w:bCs/>
        </w:rPr>
        <w:t xml:space="preserve">(Μ.Φ.Ι.) </w:t>
      </w:r>
      <w:r w:rsidRPr="00687F57">
        <w:rPr>
          <w:rFonts w:asciiTheme="minorHAnsi" w:hAnsiTheme="minorHAnsi" w:cstheme="minorHAnsi"/>
          <w:bCs/>
        </w:rPr>
        <w:t>του άρθρου 12 του ν. 4575/2018 (Α’ 192)</w:t>
      </w:r>
      <w:r w:rsidR="004959D0" w:rsidRPr="00687F57">
        <w:rPr>
          <w:rFonts w:asciiTheme="minorHAnsi" w:hAnsiTheme="minorHAnsi" w:cstheme="minorHAnsi"/>
          <w:bCs/>
        </w:rPr>
        <w:t>, με το οποίο</w:t>
      </w:r>
      <w:r w:rsidRPr="00687F57">
        <w:rPr>
          <w:rFonts w:asciiTheme="minorHAnsi" w:hAnsiTheme="minorHAnsi" w:cstheme="minorHAnsi"/>
          <w:bCs/>
        </w:rPr>
        <w:t xml:space="preserve"> προβλέφθηκε η καταβολή εφάπαξ χρηματικού ποσού, μεταξύ άλλων, προς τους ερευνητές και Ειδικούς Λειτουργικούς Επιστήμονες (Ε.Λ.Ε.) των ερευνητικών κέντρων, ινστιτούτων και τεχνολογικών φορέων του άρθρου 13Α του ν. 4310/2014 (Α’ 258), οι οποίοι ήταν ενεργοί κατά το χρονικό διάστημα από 1.1.2015 έως 31.12.2016. Το εν λόγω χρηματικό ποσό αντιστοιχεί στη διαφορά μεταξύ των μηνιαίων αποδοχών που θα δικαιούνταν να λάβουν με βάση τις ισχύουσες κατά την 31</w:t>
      </w:r>
      <w:r w:rsidR="00685C5E" w:rsidRPr="00687F57">
        <w:rPr>
          <w:rFonts w:asciiTheme="minorHAnsi" w:hAnsiTheme="minorHAnsi" w:cstheme="minorHAnsi"/>
          <w:bCs/>
        </w:rPr>
        <w:t>η</w:t>
      </w:r>
      <w:r w:rsidRPr="00687F57">
        <w:rPr>
          <w:rFonts w:asciiTheme="minorHAnsi" w:hAnsiTheme="minorHAnsi" w:cstheme="minorHAnsi"/>
          <w:bCs/>
        </w:rPr>
        <w:t>.7.2012 μισθολογικές διατάξεις και των μηνιαίων αποδοχών που πράγματι τους καταβλήθηκαν με βάση το ν. 4093/2012. Κατ’ εξουσιοδότηση της διάταξης της παρ. 2 του άρθρου 12 του ν. 4575/2018 εκδόθηκε η Κ.Υ.Α. με αριθμ. πρωτ. οικ. 2/88410/ΔΕΠ/4.12.2018 (Β΄5435), με την οποία καθορίστηκ</w:t>
      </w:r>
      <w:r w:rsidR="00EE0ACF" w:rsidRPr="00687F57">
        <w:rPr>
          <w:rFonts w:asciiTheme="minorHAnsi" w:hAnsiTheme="minorHAnsi" w:cstheme="minorHAnsi"/>
          <w:bCs/>
        </w:rPr>
        <w:t>αν</w:t>
      </w:r>
      <w:r w:rsidRPr="00687F57">
        <w:rPr>
          <w:rFonts w:asciiTheme="minorHAnsi" w:hAnsiTheme="minorHAnsi" w:cstheme="minorHAnsi"/>
          <w:bCs/>
        </w:rPr>
        <w:t xml:space="preserve"> ο χρόνος καταβολής, η διαδικασία και κάθε άλλο αναγκαίο ζήτημα σχετικά με την καταβολή του ως άνω χρηματικού ποσού. </w:t>
      </w:r>
    </w:p>
    <w:p w:rsidR="0002236B" w:rsidRPr="00687F57" w:rsidRDefault="0002236B" w:rsidP="001F0A52">
      <w:pPr>
        <w:spacing w:line="360" w:lineRule="auto"/>
        <w:jc w:val="both"/>
        <w:rPr>
          <w:rFonts w:asciiTheme="minorHAnsi" w:hAnsiTheme="minorHAnsi" w:cstheme="minorHAnsi"/>
          <w:bCs/>
        </w:rPr>
      </w:pPr>
      <w:r w:rsidRPr="00687F57">
        <w:rPr>
          <w:rFonts w:asciiTheme="minorHAnsi" w:hAnsiTheme="minorHAnsi" w:cstheme="minorHAnsi"/>
          <w:bCs/>
        </w:rPr>
        <w:t>Οι ως άνω ρυθμίσεις επεκτάθηκαν και σε άλλους φορείς με σειρά νομοθετικών διατάξεων (βλ.</w:t>
      </w:r>
      <w:r w:rsidR="00EE0ACF" w:rsidRPr="00687F57">
        <w:rPr>
          <w:rFonts w:asciiTheme="minorHAnsi" w:hAnsiTheme="minorHAnsi" w:cstheme="minorHAnsi"/>
          <w:bCs/>
        </w:rPr>
        <w:t>,</w:t>
      </w:r>
      <w:r w:rsidRPr="00687F57">
        <w:rPr>
          <w:rFonts w:asciiTheme="minorHAnsi" w:hAnsiTheme="minorHAnsi" w:cstheme="minorHAnsi"/>
          <w:bCs/>
        </w:rPr>
        <w:t xml:space="preserve"> μεταξύ άλλων, τα άρθρα 85 του ν. 4582/2018 και  23 του ν. 4613/2019</w:t>
      </w:r>
      <w:r w:rsidR="00EE0ACF" w:rsidRPr="00687F57">
        <w:rPr>
          <w:rFonts w:asciiTheme="minorHAnsi" w:hAnsiTheme="minorHAnsi" w:cstheme="minorHAnsi"/>
          <w:bCs/>
        </w:rPr>
        <w:t>)</w:t>
      </w:r>
      <w:r w:rsidRPr="00687F57">
        <w:rPr>
          <w:rFonts w:asciiTheme="minorHAnsi" w:hAnsiTheme="minorHAnsi" w:cstheme="minorHAnsi"/>
          <w:bCs/>
        </w:rPr>
        <w:t xml:space="preserve">. </w:t>
      </w:r>
    </w:p>
    <w:p w:rsidR="0002236B" w:rsidRPr="00687F57" w:rsidRDefault="0002236B" w:rsidP="001F0A52">
      <w:pPr>
        <w:spacing w:line="360" w:lineRule="auto"/>
        <w:jc w:val="both"/>
        <w:rPr>
          <w:rFonts w:asciiTheme="minorHAnsi" w:hAnsiTheme="minorHAnsi" w:cstheme="minorHAnsi"/>
          <w:bCs/>
        </w:rPr>
      </w:pPr>
      <w:r w:rsidRPr="00687F57">
        <w:rPr>
          <w:rFonts w:asciiTheme="minorHAnsi" w:hAnsiTheme="minorHAnsi" w:cstheme="minorHAnsi"/>
          <w:bCs/>
        </w:rPr>
        <w:lastRenderedPageBreak/>
        <w:t>Το Μ.Φ.Ι. είναι νοµικό πρόσωπο δηµοσίου δικαίου εποπτευόμενο από το Υπουργείο Αγροτικής Ανάπτυξης και Τροφίµων και λειτουργεί ανελλιπώς από το 1929 (ν. 4160/1929, Α’ 198). Με σειρά νόμων επιχειρήθηκε αφενός μεν η επικαιροποίηση του τρόπου οργάνωσης και λειτουργίας του, αφετέρου δε η σύνδεσή του με τον ενιαίο χώρο εκπαίδευσης και έρευνας. Εντέλει, με το άρθρο 36 παρ. 2 του ν. 4589/2019 (Α’ 13) το Μ.Φ.Ι. υπήχθη στο πεδίο εφαρμογής του άρθρου 13Α του ν. 4310/2014 (Α’ 258). Η εν λόγω διάταξη της παρ. 2 του άρθρου 26 του ν. 4589/2019 δεν έχει αναδρομική ισχύ. Συνεπώς, αν πλέον το Μ</w:t>
      </w:r>
      <w:r w:rsidR="00EE0ACF" w:rsidRPr="00687F57">
        <w:rPr>
          <w:rFonts w:asciiTheme="minorHAnsi" w:hAnsiTheme="minorHAnsi" w:cstheme="minorHAnsi"/>
          <w:bCs/>
        </w:rPr>
        <w:t>.</w:t>
      </w:r>
      <w:r w:rsidRPr="00687F57">
        <w:rPr>
          <w:rFonts w:asciiTheme="minorHAnsi" w:hAnsiTheme="minorHAnsi" w:cstheme="minorHAnsi"/>
          <w:bCs/>
        </w:rPr>
        <w:t>Φ</w:t>
      </w:r>
      <w:r w:rsidR="00EE0ACF" w:rsidRPr="00687F57">
        <w:rPr>
          <w:rFonts w:asciiTheme="minorHAnsi" w:hAnsiTheme="minorHAnsi" w:cstheme="minorHAnsi"/>
          <w:bCs/>
        </w:rPr>
        <w:t>.</w:t>
      </w:r>
      <w:r w:rsidRPr="00687F57">
        <w:rPr>
          <w:rFonts w:asciiTheme="minorHAnsi" w:hAnsiTheme="minorHAnsi" w:cstheme="minorHAnsi"/>
          <w:bCs/>
        </w:rPr>
        <w:t>Ι</w:t>
      </w:r>
      <w:r w:rsidR="00EE0ACF" w:rsidRPr="00687F57">
        <w:rPr>
          <w:rFonts w:asciiTheme="minorHAnsi" w:hAnsiTheme="minorHAnsi" w:cstheme="minorHAnsi"/>
          <w:bCs/>
        </w:rPr>
        <w:t>.</w:t>
      </w:r>
      <w:r w:rsidRPr="00687F57">
        <w:rPr>
          <w:rFonts w:asciiTheme="minorHAnsi" w:hAnsiTheme="minorHAnsi" w:cstheme="minorHAnsi"/>
          <w:bCs/>
        </w:rPr>
        <w:t xml:space="preserve"> διέπεται από της διατάξεις του ν. 4310/2014 όσον αφορά τη διαδικασία και τις προϋποθέσεις πρόσληψης και εξέλιξης και τα λοιπά δικαιώματα και </w:t>
      </w:r>
      <w:r w:rsidR="00EE0ACF" w:rsidRPr="00687F57">
        <w:rPr>
          <w:rFonts w:asciiTheme="minorHAnsi" w:hAnsiTheme="minorHAnsi" w:cstheme="minorHAnsi"/>
          <w:bCs/>
        </w:rPr>
        <w:t xml:space="preserve">τις </w:t>
      </w:r>
      <w:r w:rsidRPr="00687F57">
        <w:rPr>
          <w:rFonts w:asciiTheme="minorHAnsi" w:hAnsiTheme="minorHAnsi" w:cstheme="minorHAnsi"/>
          <w:bCs/>
        </w:rPr>
        <w:t>υποχρεώσεις του ερευνητικού προσωπικού, εντούτοις το ερευνητικό προσωπικό του Μ</w:t>
      </w:r>
      <w:r w:rsidR="00EE0ACF" w:rsidRPr="00687F57">
        <w:rPr>
          <w:rFonts w:asciiTheme="minorHAnsi" w:hAnsiTheme="minorHAnsi" w:cstheme="minorHAnsi"/>
          <w:bCs/>
        </w:rPr>
        <w:t>.</w:t>
      </w:r>
      <w:r w:rsidRPr="00687F57">
        <w:rPr>
          <w:rFonts w:asciiTheme="minorHAnsi" w:hAnsiTheme="minorHAnsi" w:cstheme="minorHAnsi"/>
          <w:bCs/>
        </w:rPr>
        <w:t>Φ</w:t>
      </w:r>
      <w:r w:rsidR="00EE0ACF" w:rsidRPr="00687F57">
        <w:rPr>
          <w:rFonts w:asciiTheme="minorHAnsi" w:hAnsiTheme="minorHAnsi" w:cstheme="minorHAnsi"/>
          <w:bCs/>
        </w:rPr>
        <w:t>.</w:t>
      </w:r>
      <w:r w:rsidRPr="00687F57">
        <w:rPr>
          <w:rFonts w:asciiTheme="minorHAnsi" w:hAnsiTheme="minorHAnsi" w:cstheme="minorHAnsi"/>
          <w:bCs/>
        </w:rPr>
        <w:t>Ι</w:t>
      </w:r>
      <w:r w:rsidR="00EE0ACF" w:rsidRPr="00687F57">
        <w:rPr>
          <w:rFonts w:asciiTheme="minorHAnsi" w:hAnsiTheme="minorHAnsi" w:cstheme="minorHAnsi"/>
          <w:bCs/>
        </w:rPr>
        <w:t>.</w:t>
      </w:r>
      <w:r w:rsidRPr="00687F57">
        <w:rPr>
          <w:rFonts w:asciiTheme="minorHAnsi" w:hAnsiTheme="minorHAnsi" w:cstheme="minorHAnsi"/>
          <w:bCs/>
        </w:rPr>
        <w:t xml:space="preserve"> δεν συμπεριλαμβάνεται αυτοδικαίως στους δικαιούχους του εφάπαξ χρηματικού ποσού του άρθρου 12 του ν. 4575/2018. </w:t>
      </w:r>
    </w:p>
    <w:p w:rsidR="0002236B" w:rsidRPr="00687F57" w:rsidRDefault="0002236B" w:rsidP="001F0A52">
      <w:pPr>
        <w:spacing w:line="360" w:lineRule="auto"/>
        <w:jc w:val="both"/>
        <w:rPr>
          <w:rFonts w:asciiTheme="minorHAnsi" w:hAnsiTheme="minorHAnsi" w:cstheme="minorHAnsi"/>
          <w:bCs/>
        </w:rPr>
      </w:pPr>
      <w:r w:rsidRPr="00687F57">
        <w:rPr>
          <w:rFonts w:asciiTheme="minorHAnsi" w:hAnsiTheme="minorHAnsi" w:cstheme="minorHAnsi"/>
          <w:bCs/>
        </w:rPr>
        <w:t>Με την προτεινόμενη ρύθμιση προβλέπεται ότι το εν λόγω χρηματικό ποσό που καταβλήθηκε στο ερευνητικό προσωπικό των υπόλοιπων ερευνητικών κέντρων καταβάλλεται και στο ερευνητικό προσωπικό του Μ.Φ.Ι., δεδομένου ότι οι συγκεκριμένες κατηγορίες τελούν σε όμοιες συνθήκες. Η εν λόγω ρύθμιση είναι αναγκαία ενόψει της συνταγματικής επιταγής για ίση μεταχείριση ουσιωδώς όμοιων καταστάσεων.</w:t>
      </w:r>
    </w:p>
    <w:p w:rsidR="0002236B" w:rsidRPr="00687F57" w:rsidRDefault="0002236B" w:rsidP="003917A8">
      <w:pPr>
        <w:spacing w:line="360" w:lineRule="auto"/>
        <w:jc w:val="both"/>
        <w:rPr>
          <w:rFonts w:asciiTheme="minorHAnsi" w:hAnsiTheme="minorHAnsi" w:cstheme="minorHAnsi"/>
        </w:rPr>
      </w:pPr>
    </w:p>
    <w:p w:rsidR="0002236B" w:rsidRPr="00687F57" w:rsidRDefault="0002236B" w:rsidP="00DE7CE6">
      <w:pPr>
        <w:spacing w:line="360" w:lineRule="auto"/>
        <w:outlineLvl w:val="0"/>
        <w:rPr>
          <w:rFonts w:asciiTheme="minorHAnsi" w:hAnsiTheme="minorHAnsi" w:cstheme="minorHAnsi"/>
          <w:b/>
          <w:bCs/>
        </w:rPr>
      </w:pPr>
      <w:r w:rsidRPr="00687F57">
        <w:rPr>
          <w:rFonts w:asciiTheme="minorHAnsi" w:hAnsiTheme="minorHAnsi" w:cstheme="minorHAnsi"/>
          <w:b/>
          <w:bCs/>
        </w:rPr>
        <w:t xml:space="preserve">Επί του άρθρου </w:t>
      </w:r>
      <w:r w:rsidR="00085297" w:rsidRPr="00687F57">
        <w:rPr>
          <w:rFonts w:asciiTheme="minorHAnsi" w:hAnsiTheme="minorHAnsi" w:cstheme="minorHAnsi"/>
          <w:b/>
          <w:bCs/>
        </w:rPr>
        <w:t>2</w:t>
      </w:r>
      <w:r w:rsidR="005E0F67" w:rsidRPr="00687F57">
        <w:rPr>
          <w:rFonts w:asciiTheme="minorHAnsi" w:hAnsiTheme="minorHAnsi" w:cstheme="minorHAnsi"/>
          <w:b/>
          <w:bCs/>
        </w:rPr>
        <w:t>1</w:t>
      </w:r>
    </w:p>
    <w:p w:rsidR="0002236B" w:rsidRPr="00687F57" w:rsidRDefault="0002236B" w:rsidP="00DE7CE6">
      <w:pPr>
        <w:spacing w:line="360" w:lineRule="auto"/>
        <w:rPr>
          <w:rFonts w:asciiTheme="minorHAnsi" w:hAnsiTheme="minorHAnsi" w:cstheme="minorHAnsi"/>
          <w:b/>
          <w:bCs/>
        </w:rPr>
      </w:pPr>
      <w:r w:rsidRPr="00687F57">
        <w:rPr>
          <w:rFonts w:asciiTheme="minorHAnsi" w:hAnsiTheme="minorHAnsi" w:cstheme="minorHAnsi"/>
          <w:b/>
        </w:rPr>
        <w:t xml:space="preserve">Ορισμός κεντρικών αρμόδιων αρχών και ενιαίου φορέα για τα ΠΟΕΣΕ, για την </w:t>
      </w:r>
    </w:p>
    <w:p w:rsidR="0002236B" w:rsidRPr="00687F57" w:rsidRDefault="0002236B" w:rsidP="00DE7CE6">
      <w:pPr>
        <w:spacing w:line="360" w:lineRule="auto"/>
        <w:rPr>
          <w:rFonts w:asciiTheme="minorHAnsi" w:hAnsiTheme="minorHAnsi" w:cstheme="minorHAnsi"/>
          <w:b/>
        </w:rPr>
      </w:pPr>
      <w:r w:rsidRPr="00687F57">
        <w:rPr>
          <w:rFonts w:asciiTheme="minorHAnsi" w:hAnsiTheme="minorHAnsi" w:cstheme="minorHAnsi"/>
          <w:b/>
        </w:rPr>
        <w:t xml:space="preserve">εφαρμογή του κανονισμού (ΕΕ) 2017/625 </w:t>
      </w:r>
    </w:p>
    <w:p w:rsidR="0002236B" w:rsidRPr="00687F57" w:rsidRDefault="0002236B" w:rsidP="00687F57">
      <w:pPr>
        <w:spacing w:line="360" w:lineRule="auto"/>
        <w:jc w:val="both"/>
        <w:rPr>
          <w:rFonts w:asciiTheme="minorHAnsi" w:hAnsiTheme="minorHAnsi" w:cstheme="minorHAnsi"/>
          <w:b/>
          <w:color w:val="FF0000"/>
        </w:rPr>
      </w:pPr>
      <w:r w:rsidRPr="00687F57">
        <w:rPr>
          <w:rFonts w:asciiTheme="minorHAnsi" w:hAnsiTheme="minorHAnsi" w:cstheme="minorHAnsi"/>
        </w:rPr>
        <w:t>Με το π</w:t>
      </w:r>
      <w:r w:rsidR="00687F57">
        <w:rPr>
          <w:rFonts w:asciiTheme="minorHAnsi" w:hAnsiTheme="minorHAnsi" w:cstheme="minorHAnsi"/>
        </w:rPr>
        <w:t>ροτεινόμενο</w:t>
      </w:r>
      <w:r w:rsidRPr="00687F57">
        <w:rPr>
          <w:rFonts w:asciiTheme="minorHAnsi" w:hAnsiTheme="minorHAnsi" w:cstheme="minorHAnsi"/>
        </w:rPr>
        <w:t xml:space="preserve"> άρθρο καθορίζονται τα αναγκαία συμπληρωματικά μέτρα για την εφαρμογή των άρθρων 4 και 109 του κανονισμού (ΕΕ) 2017/625 του</w:t>
      </w:r>
      <w:r w:rsidRPr="00687F57">
        <w:rPr>
          <w:rFonts w:asciiTheme="minorHAnsi" w:hAnsiTheme="minorHAnsi" w:cstheme="minorHAnsi"/>
          <w:bCs/>
        </w:rPr>
        <w:t xml:space="preserve">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 999/2001, (ΕΚ) αριθ. 396/2005, (ΕΚ) αριθ. 1069/2009, (ΕΚ) αριθ. 1107/2009, (ΕΕ) </w:t>
      </w:r>
      <w:r w:rsidRPr="00687F57">
        <w:rPr>
          <w:rFonts w:asciiTheme="minorHAnsi" w:hAnsiTheme="minorHAnsi" w:cstheme="minorHAnsi"/>
          <w:bCs/>
        </w:rPr>
        <w:lastRenderedPageBreak/>
        <w:t xml:space="preserve">αριθ. 1151/2012, (ΕΕ) αριθ. 652/2014, (ΕΕ) 2016/429 και (ΕΕ) 2016/2031, των κανονισμών του Συμβουλίου (ΕΚ) αριθ. 1/2005 και (ΕΚ) αριθ.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αριθ. 854/2004 και (ΕΚ) αριθ. 882/2004, των οδηγιών του Συμβουλίου 89/608/ΕΟΚ, 89/662/ΕΟΚ, 90/425/ΕΟΚ, 91/496/ΕΟΚ, 96/23/ΕΟΚ, 96/93/ΕΚ και 97/78/ΕΚ και της απόφασης  92/438/ΕΟΚ του Συμβουλίου (κανονισμός για τους επίσημους ελέγχους) </w:t>
      </w:r>
      <w:r w:rsidRPr="00687F57">
        <w:rPr>
          <w:rFonts w:asciiTheme="minorHAnsi" w:hAnsiTheme="minorHAnsi" w:cstheme="minorHAnsi"/>
        </w:rPr>
        <w:t>(ΕΕ L 095, 7.4.2017, σ. 1 και διορθωτικό ΕΕ L 137, 24.5.2017, σ. 40)</w:t>
      </w:r>
      <w:r w:rsidRPr="00687F57">
        <w:rPr>
          <w:rFonts w:asciiTheme="minorHAnsi" w:hAnsiTheme="minorHAnsi" w:cstheme="minorHAnsi"/>
          <w:bCs/>
        </w:rPr>
        <w:t xml:space="preserve">, </w:t>
      </w:r>
      <w:r w:rsidRPr="00687F57">
        <w:rPr>
          <w:rFonts w:asciiTheme="minorHAnsi" w:hAnsiTheme="minorHAnsi" w:cstheme="minorHAnsi"/>
        </w:rPr>
        <w:t xml:space="preserve">σχετικά </w:t>
      </w:r>
      <w:r w:rsidRPr="00687F57">
        <w:rPr>
          <w:rFonts w:asciiTheme="minorHAnsi" w:hAnsiTheme="minorHAnsi" w:cstheme="minorHAnsi"/>
          <w:bCs/>
        </w:rPr>
        <w:t>με τον ορισμό των κεντρικών αρμόδιων αρχών οργάνωσης των επισήμων ελέγχων και άλλων επίσημων δραστηριοτήτων του κανονισμού και του ενιαίου φορέα για τα ΠΟΕΣΕ. Οι κεντρικές αρμόδιες αρχές του τομέα των τροφίμων αποτελούν και τις αρχές οργάνωσης</w:t>
      </w:r>
      <w:r w:rsidR="00EE0ACF" w:rsidRPr="00687F57">
        <w:rPr>
          <w:rFonts w:asciiTheme="minorHAnsi" w:hAnsiTheme="minorHAnsi" w:cstheme="minorHAnsi"/>
          <w:bCs/>
        </w:rPr>
        <w:t>,</w:t>
      </w:r>
      <w:r w:rsidRPr="00687F57">
        <w:rPr>
          <w:rFonts w:asciiTheme="minorHAnsi" w:hAnsiTheme="minorHAnsi" w:cstheme="minorHAnsi"/>
          <w:bCs/>
        </w:rPr>
        <w:t xml:space="preserve"> εποπτείας και συντονισμού για την ασφάλεια των τροφίμων, σύμφωνα με το άρθρο 130 του ν. 4512/2018 (</w:t>
      </w:r>
      <w:r w:rsidRPr="00687F57">
        <w:rPr>
          <w:rFonts w:asciiTheme="minorHAnsi" w:hAnsiTheme="minorHAnsi" w:cstheme="minorHAnsi"/>
          <w:bCs/>
          <w:lang w:val="en-US"/>
        </w:rPr>
        <w:t>A</w:t>
      </w:r>
      <w:r w:rsidRPr="00687F57">
        <w:rPr>
          <w:rFonts w:asciiTheme="minorHAnsi" w:hAnsiTheme="minorHAnsi" w:cstheme="minorHAnsi"/>
          <w:bCs/>
        </w:rPr>
        <w:t>΄ 5).</w:t>
      </w:r>
      <w:r w:rsidRPr="00687F57">
        <w:rPr>
          <w:rFonts w:asciiTheme="minorHAnsi" w:hAnsiTheme="minorHAnsi" w:cstheme="minorHAnsi"/>
        </w:rPr>
        <w:t xml:space="preserve"> Η παρ. 7 του άρθρου αποτελεί εξουσιοδοτική διάταξη, ώστε να καθορίζονται τα λοιπά αναγκαία συμπληρωματικά, οργανωτικά και εκτελεστικά μέτρα για την εφαρμογή του κανονισμού (ΕΕ) 2017/625 και των διατάξεων των εκτελεστικών ή των κατ’ εξουσιοδότηση πράξεων που προβλέπονται σε αυτόν. Η πρόβλεψη της ανωτέρω εξουσιοδοτικής διάταξης είναι απαραίτητη γιατί αφενός ο οριζόντιος χαρακτήρας του κανονισμού και αφετέρου η αρμοδιότητα της Επιτροπής να εκδίδει πράξεις, όποτε απαιτείται, για τη συμπλήρωσή του κανονισμού και να καθορίζει λεπτομερείς κανόνες για την ενιαία και ομοιόμορφη εφαρμογή του από τα κράτη μέλη, δυσχεραίνουν τον επακριβή καθορισμό των αναγκαίων μέτρων και διατάξεων που οφείλει η χώρα να εκδώσει και να εφαρμόσει. </w:t>
      </w:r>
    </w:p>
    <w:p w:rsidR="009D7217" w:rsidRPr="00687F57" w:rsidRDefault="009D7217" w:rsidP="007C1BEA">
      <w:pPr>
        <w:spacing w:line="360" w:lineRule="auto"/>
        <w:outlineLvl w:val="0"/>
        <w:rPr>
          <w:rFonts w:asciiTheme="minorHAnsi" w:hAnsiTheme="minorHAnsi" w:cstheme="minorHAnsi"/>
          <w:b/>
          <w:bCs/>
        </w:rPr>
      </w:pPr>
    </w:p>
    <w:p w:rsidR="0002236B" w:rsidRPr="00687F57" w:rsidRDefault="0002236B" w:rsidP="007C1BEA">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2</w:t>
      </w:r>
      <w:r w:rsidR="005E0F67" w:rsidRPr="00687F57">
        <w:rPr>
          <w:rFonts w:asciiTheme="minorHAnsi" w:hAnsiTheme="minorHAnsi" w:cstheme="minorHAnsi"/>
          <w:b/>
          <w:bCs/>
        </w:rPr>
        <w:t>2</w:t>
      </w:r>
    </w:p>
    <w:p w:rsidR="009D7217" w:rsidRPr="00687F57" w:rsidRDefault="00D874AF" w:rsidP="00687F57">
      <w:pPr>
        <w:spacing w:line="360" w:lineRule="auto"/>
        <w:outlineLvl w:val="0"/>
        <w:rPr>
          <w:rFonts w:asciiTheme="minorHAnsi" w:hAnsiTheme="minorHAnsi" w:cstheme="minorHAnsi"/>
          <w:b/>
          <w:bCs/>
          <w:lang w:val="en-GB"/>
        </w:rPr>
      </w:pPr>
      <w:r w:rsidRPr="00687F57">
        <w:rPr>
          <w:rFonts w:asciiTheme="minorHAnsi" w:hAnsiTheme="minorHAnsi" w:cstheme="minorHAnsi"/>
          <w:b/>
          <w:bCs/>
        </w:rPr>
        <w:t>Συμβούλιο Στρατηγικού Σχεδιασμού - Εξουσιοδοτική διάταξη</w:t>
      </w:r>
    </w:p>
    <w:p w:rsidR="00D874AF" w:rsidRPr="00687F57" w:rsidRDefault="00D874AF" w:rsidP="00D874AF">
      <w:pPr>
        <w:spacing w:line="360" w:lineRule="auto"/>
        <w:jc w:val="both"/>
        <w:rPr>
          <w:rFonts w:asciiTheme="minorHAnsi" w:hAnsiTheme="minorHAnsi" w:cstheme="minorHAnsi"/>
        </w:rPr>
      </w:pPr>
      <w:r w:rsidRPr="00687F57">
        <w:rPr>
          <w:rFonts w:asciiTheme="minorHAnsi" w:hAnsiTheme="minorHAnsi" w:cstheme="minorHAnsi"/>
        </w:rPr>
        <w:t>Με την προτεινόμενη διάταξη της παρ. 1 συμπεριλαμβάνονται ως μέλη του Συμβουλίου Στρατηγικού Σχεδιασμού</w:t>
      </w:r>
      <w:r w:rsidR="00EE0ACF" w:rsidRPr="00687F57">
        <w:rPr>
          <w:rFonts w:asciiTheme="minorHAnsi" w:hAnsiTheme="minorHAnsi" w:cstheme="minorHAnsi"/>
        </w:rPr>
        <w:t xml:space="preserve"> του ΥΠΑΑΤ</w:t>
      </w:r>
      <w:r w:rsidRPr="00687F57">
        <w:rPr>
          <w:rFonts w:asciiTheme="minorHAnsi" w:hAnsiTheme="minorHAnsi" w:cstheme="minorHAnsi"/>
        </w:rPr>
        <w:t xml:space="preserve"> οι Πρόεδροι των εποπτευόμενων φορέων και οι Προϊστάμενοι των Ειδικών Υπηρεσιών</w:t>
      </w:r>
      <w:r w:rsidR="00EE0ACF" w:rsidRPr="00687F57">
        <w:rPr>
          <w:rFonts w:asciiTheme="minorHAnsi" w:hAnsiTheme="minorHAnsi" w:cstheme="minorHAnsi"/>
        </w:rPr>
        <w:t xml:space="preserve"> του Υπουργείου</w:t>
      </w:r>
      <w:r w:rsidRPr="00687F57">
        <w:rPr>
          <w:rFonts w:asciiTheme="minorHAnsi" w:hAnsiTheme="minorHAnsi" w:cstheme="minorHAnsi"/>
        </w:rPr>
        <w:t>. Με τη διεύρυνση αυτή ενισχύεται ο ρόλος του συμβουλίου ως του οργάνου διαβούλευσης επί θεμάτων διαμόρφωσης, παρακολούθησης και αξιολόγησης των δημόσιων πολιτικών του ΥΠΑΑΤ.</w:t>
      </w:r>
    </w:p>
    <w:p w:rsidR="0002236B" w:rsidRPr="00687F57" w:rsidRDefault="0002236B" w:rsidP="00B01A87">
      <w:pPr>
        <w:spacing w:line="360" w:lineRule="auto"/>
        <w:jc w:val="both"/>
        <w:rPr>
          <w:rFonts w:asciiTheme="minorHAnsi" w:hAnsiTheme="minorHAnsi" w:cstheme="minorHAnsi"/>
          <w:color w:val="000000"/>
        </w:rPr>
      </w:pPr>
      <w:r w:rsidRPr="00687F57">
        <w:rPr>
          <w:rFonts w:asciiTheme="minorHAnsi" w:hAnsiTheme="minorHAnsi" w:cstheme="minorHAnsi"/>
        </w:rPr>
        <w:lastRenderedPageBreak/>
        <w:t xml:space="preserve">Με την προτεινόμενη διάταξη </w:t>
      </w:r>
      <w:r w:rsidR="00D874AF" w:rsidRPr="00687F57">
        <w:rPr>
          <w:rFonts w:asciiTheme="minorHAnsi" w:hAnsiTheme="minorHAnsi" w:cstheme="minorHAnsi"/>
        </w:rPr>
        <w:t xml:space="preserve">της παρ. 2 </w:t>
      </w:r>
      <w:r w:rsidRPr="00687F57">
        <w:rPr>
          <w:rFonts w:asciiTheme="minorHAnsi" w:hAnsiTheme="minorHAnsi" w:cstheme="minorHAnsi"/>
        </w:rPr>
        <w:t xml:space="preserve">εξουσιοδοτείται ο Υπουργός Αγροτικής Ανάπτυξης και Τροφίμων να εκδίδει κοινές αποφάσεις με τους συναρμόδιους υπουργούς για τον σχεδιασμό και </w:t>
      </w:r>
      <w:r w:rsidR="00EE0ACF" w:rsidRPr="00687F57">
        <w:rPr>
          <w:rFonts w:asciiTheme="minorHAnsi" w:hAnsiTheme="minorHAnsi" w:cstheme="minorHAnsi"/>
        </w:rPr>
        <w:t xml:space="preserve">την </w:t>
      </w:r>
      <w:r w:rsidRPr="00687F57">
        <w:rPr>
          <w:rFonts w:asciiTheme="minorHAnsi" w:hAnsiTheme="minorHAnsi" w:cstheme="minorHAnsi"/>
        </w:rPr>
        <w:t xml:space="preserve">υλοποίηση προσωρινών μέτρων με σκοπό την αντιμετώπιση έκτακτων και απρόβλεπτων κινδύνων από κάθε είδους αίτια που μπορούν να επηρεάσουν ή να ανακόψουν τη λειτουργία και τη συνέχεια της αγροτικής, της κτηνοτροφικής και της αλιευτικής παραγωγής της χώρας. Τέτοιοι ενδεχόμενοι έκτακτοι και απρόβλεπτοι κίνδυνοι της δημόσιας υγείας, ενδεικτικά είναι οι ζωοανθρωπονόσοι, οι ζωονόσοι και τα λοιμώδη νοσήματα των ζώων που απειλούν άμεσα την εθνική οικονομία, όπως η αφρικανική πανώλη των χοίρων, οι επιπτώσεις από βιομηχανικά ή τεχνολογικά ατυχήματα, καθώς και κίνδυνοι που αφορούν την ασφάλεια των τροφίμων. Τα μέτρα αυτά λαμβάνονται σε πλήρη συμφωνία με τις υπάρχουσες εθνικές και ενωσιακές διατάξεις, αποτελούν </w:t>
      </w:r>
      <w:r w:rsidRPr="00687F57">
        <w:rPr>
          <w:rFonts w:asciiTheme="minorHAnsi" w:hAnsiTheme="minorHAnsi" w:cstheme="minorHAnsi"/>
          <w:color w:val="000000"/>
        </w:rPr>
        <w:t xml:space="preserve">μέτρα πρόληψης, επιτήρησης και ελέγχου σε τοπικό η εθνικό επίπεδο και προτείνονται με σκοπό να συμπληρώσουν τυχόν κενά της προϋπάρχουσας νομοθεσίας στον τομέα της αντιμετώπισης </w:t>
      </w:r>
      <w:r w:rsidRPr="00687F57">
        <w:rPr>
          <w:rFonts w:asciiTheme="minorHAnsi" w:hAnsiTheme="minorHAnsi" w:cstheme="minorHAnsi"/>
        </w:rPr>
        <w:t>έκτακτων και απρόβλεπτων κινδύνων για την αγροτική, κτηνοτροφική και αλιευτική παραγωγή της χώρας.</w:t>
      </w:r>
      <w:r w:rsidRPr="00687F57">
        <w:rPr>
          <w:rFonts w:asciiTheme="minorHAnsi" w:hAnsiTheme="minorHAnsi" w:cstheme="minorHAnsi"/>
          <w:color w:val="000000"/>
        </w:rPr>
        <w:t xml:space="preserve"> Στα μέτρα αυτά </w:t>
      </w:r>
      <w:r w:rsidR="00EE0ACF" w:rsidRPr="00687F57">
        <w:rPr>
          <w:rFonts w:asciiTheme="minorHAnsi" w:hAnsiTheme="minorHAnsi" w:cstheme="minorHAnsi"/>
          <w:color w:val="000000"/>
        </w:rPr>
        <w:t xml:space="preserve">περιλαμβάνονται </w:t>
      </w:r>
      <w:r w:rsidRPr="00687F57">
        <w:rPr>
          <w:rFonts w:asciiTheme="minorHAnsi" w:hAnsiTheme="minorHAnsi" w:cstheme="minorHAnsi"/>
          <w:color w:val="000000"/>
        </w:rPr>
        <w:t xml:space="preserve">ιδίως ο ορισμός αρμόδιων αρχών και ο καθορισμός αρμοδιοτήτων και διοικητικών διαδικασιών, η σύσταση και η συγκρότηση συλλογικών οργάνων, καθώς και η θέσπιση διοικητικών και ποινικών κυρώσεων. Επιπλέον, ορίζεται χρονικός περιορισμός διάρκειας μέχρι ενός έτους για τα μέτρα αυτά, καθώς στη συνέχεια θα εφαρμόζονται τα ήδη προβλεπόμενα μέτρα και σχέδια. </w:t>
      </w:r>
    </w:p>
    <w:p w:rsidR="0002236B" w:rsidRPr="00687F57" w:rsidRDefault="0002236B" w:rsidP="00B01A87">
      <w:pPr>
        <w:spacing w:line="360" w:lineRule="auto"/>
        <w:jc w:val="both"/>
        <w:rPr>
          <w:rFonts w:asciiTheme="minorHAnsi" w:hAnsiTheme="minorHAnsi" w:cstheme="minorHAnsi"/>
          <w:color w:val="000000"/>
        </w:rPr>
      </w:pPr>
    </w:p>
    <w:p w:rsidR="0002236B" w:rsidRPr="00687F57" w:rsidRDefault="0002236B" w:rsidP="00CC5E88">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2</w:t>
      </w:r>
      <w:r w:rsidR="005E0F67" w:rsidRPr="00687F57">
        <w:rPr>
          <w:rFonts w:asciiTheme="minorHAnsi" w:hAnsiTheme="minorHAnsi" w:cstheme="minorHAnsi"/>
          <w:b/>
          <w:bCs/>
        </w:rPr>
        <w:t>3</w:t>
      </w:r>
    </w:p>
    <w:p w:rsidR="0002236B" w:rsidRPr="00687F57" w:rsidRDefault="0002236B" w:rsidP="00687F57">
      <w:pPr>
        <w:spacing w:line="360" w:lineRule="auto"/>
        <w:jc w:val="both"/>
        <w:rPr>
          <w:rFonts w:asciiTheme="minorHAnsi" w:hAnsiTheme="minorHAnsi" w:cstheme="minorHAnsi"/>
          <w:b/>
          <w:bCs/>
          <w:color w:val="000000"/>
          <w:lang w:val="en-GB"/>
        </w:rPr>
      </w:pPr>
      <w:r w:rsidRPr="00687F57">
        <w:rPr>
          <w:rFonts w:asciiTheme="minorHAnsi" w:hAnsiTheme="minorHAnsi" w:cstheme="minorHAnsi"/>
          <w:b/>
          <w:bCs/>
          <w:color w:val="000000"/>
        </w:rPr>
        <w:t>Αγροτικά αδικήματα φθοράς</w:t>
      </w:r>
    </w:p>
    <w:p w:rsidR="005E0F67" w:rsidRPr="00687F57" w:rsidRDefault="0002236B" w:rsidP="005E0F67">
      <w:pPr>
        <w:spacing w:line="360" w:lineRule="auto"/>
        <w:jc w:val="both"/>
        <w:rPr>
          <w:rFonts w:asciiTheme="minorHAnsi" w:hAnsiTheme="minorHAnsi" w:cstheme="minorHAnsi"/>
          <w:bCs/>
          <w:color w:val="000000"/>
        </w:rPr>
      </w:pPr>
      <w:r w:rsidRPr="00687F57">
        <w:rPr>
          <w:rFonts w:asciiTheme="minorHAnsi" w:hAnsiTheme="minorHAnsi" w:cstheme="minorHAnsi"/>
          <w:bCs/>
          <w:color w:val="000000"/>
        </w:rPr>
        <w:t xml:space="preserve">Με την παρ. 1 του άρθρου 468 του </w:t>
      </w:r>
      <w:r w:rsidR="00EE0ACF" w:rsidRPr="00687F57">
        <w:rPr>
          <w:rFonts w:asciiTheme="minorHAnsi" w:hAnsiTheme="minorHAnsi" w:cstheme="minorHAnsi"/>
          <w:bCs/>
          <w:color w:val="000000"/>
        </w:rPr>
        <w:t>ν</w:t>
      </w:r>
      <w:r w:rsidRPr="00687F57">
        <w:rPr>
          <w:rFonts w:asciiTheme="minorHAnsi" w:hAnsiTheme="minorHAnsi" w:cstheme="minorHAnsi"/>
          <w:bCs/>
          <w:color w:val="000000"/>
        </w:rPr>
        <w:t>έου Ποινικού Κώδικα (ν. 4619/2019, Α΄95) καταργήθηκαν τα πταίσματα, με αποτέλεσμα να καταργηθούν και τα ποινικά αδικήματα των άρθρων 38 και 39 του ν. 3585/2007 περί φθοράς αγροτικού κτήματος και φθοράς με ζώα, τα οποία τιμωρούνταν σε βαθμό πταίσματος. Κατόπιν των ανωτέρω, κρίνεται επιβεβλημένη η διατήρηση των εν λόγω ειδικών αδικημάτων ως ελαφρών πλημμελημάτων, για την άμεση και αποτελεσματική προστασία του εννόμου αγαθού τη</w:t>
      </w:r>
      <w:r w:rsidR="0049121E">
        <w:rPr>
          <w:rFonts w:asciiTheme="minorHAnsi" w:hAnsiTheme="minorHAnsi" w:cstheme="minorHAnsi"/>
          <w:bCs/>
          <w:color w:val="000000"/>
        </w:rPr>
        <w:t>ς περιουσίας των αγροτών, καθώς</w:t>
      </w:r>
      <w:r w:rsidRPr="00687F57">
        <w:rPr>
          <w:rFonts w:asciiTheme="minorHAnsi" w:hAnsiTheme="minorHAnsi" w:cstheme="minorHAnsi"/>
          <w:bCs/>
          <w:color w:val="000000"/>
        </w:rPr>
        <w:t xml:space="preserve"> η κατάργηση των εν λόγω αδικημάτων </w:t>
      </w:r>
      <w:r w:rsidR="0049121E">
        <w:rPr>
          <w:rFonts w:ascii="Calibri" w:hAnsi="Calibri" w:cs="Calibri"/>
          <w:bCs/>
          <w:color w:val="000000"/>
        </w:rPr>
        <w:t xml:space="preserve">και η μη ποινική τιμωρία τους </w:t>
      </w:r>
      <w:r w:rsidR="0049121E" w:rsidRPr="00DB74BF">
        <w:rPr>
          <w:rFonts w:ascii="Calibri" w:hAnsi="Calibri" w:cs="Calibri"/>
          <w:bCs/>
          <w:color w:val="000000"/>
        </w:rPr>
        <w:t xml:space="preserve">είναι </w:t>
      </w:r>
      <w:r w:rsidR="0049121E">
        <w:rPr>
          <w:rFonts w:ascii="Calibri" w:hAnsi="Calibri" w:cs="Calibri"/>
          <w:bCs/>
          <w:color w:val="000000"/>
        </w:rPr>
        <w:t xml:space="preserve">ιδιαίτερα </w:t>
      </w:r>
      <w:r w:rsidRPr="00687F57">
        <w:rPr>
          <w:rFonts w:asciiTheme="minorHAnsi" w:hAnsiTheme="minorHAnsi" w:cstheme="minorHAnsi"/>
          <w:bCs/>
          <w:color w:val="000000"/>
        </w:rPr>
        <w:t xml:space="preserve">πιθανό να </w:t>
      </w:r>
      <w:r w:rsidRPr="00687F57">
        <w:rPr>
          <w:rFonts w:asciiTheme="minorHAnsi" w:hAnsiTheme="minorHAnsi" w:cstheme="minorHAnsi"/>
          <w:bCs/>
          <w:color w:val="000000"/>
        </w:rPr>
        <w:lastRenderedPageBreak/>
        <w:t>προκαλέσει προστριβές και έριδες στις τοπικές κοινωνίες, ενώ παράλληλα διασφαλίζεται η πρόβλεψη ηπιότερων πλημμεληματικών ποινών για τα εν λόγω ήσσονος σημασίας αδικήματα για μικρής αξίας φθορές.</w:t>
      </w:r>
    </w:p>
    <w:p w:rsidR="009D7217" w:rsidRPr="00687F57" w:rsidRDefault="009D7217" w:rsidP="005E0F67">
      <w:pPr>
        <w:spacing w:line="360" w:lineRule="auto"/>
        <w:jc w:val="both"/>
        <w:rPr>
          <w:rFonts w:asciiTheme="minorHAnsi" w:hAnsiTheme="minorHAnsi" w:cstheme="minorHAnsi"/>
          <w:bCs/>
          <w:color w:val="000000"/>
          <w:lang w:val="en-GB"/>
        </w:rPr>
      </w:pPr>
    </w:p>
    <w:p w:rsidR="0002236B" w:rsidRPr="00687F57" w:rsidRDefault="0002236B" w:rsidP="00CC5E88">
      <w:pPr>
        <w:spacing w:line="360" w:lineRule="auto"/>
        <w:outlineLvl w:val="0"/>
        <w:rPr>
          <w:rFonts w:asciiTheme="minorHAnsi" w:hAnsiTheme="minorHAnsi" w:cstheme="minorHAnsi"/>
          <w:b/>
          <w:bCs/>
        </w:rPr>
      </w:pPr>
      <w:r w:rsidRPr="00687F57">
        <w:rPr>
          <w:rFonts w:asciiTheme="minorHAnsi" w:hAnsiTheme="minorHAnsi" w:cstheme="minorHAnsi"/>
          <w:b/>
          <w:bCs/>
        </w:rPr>
        <w:t>Επί του άρθρου 2</w:t>
      </w:r>
      <w:r w:rsidR="005E0F67" w:rsidRPr="00687F57">
        <w:rPr>
          <w:rFonts w:asciiTheme="minorHAnsi" w:hAnsiTheme="minorHAnsi" w:cstheme="minorHAnsi"/>
          <w:b/>
          <w:bCs/>
        </w:rPr>
        <w:t>4</w:t>
      </w:r>
    </w:p>
    <w:p w:rsidR="0002236B" w:rsidRPr="00687F57" w:rsidRDefault="0002236B" w:rsidP="00687F57">
      <w:pPr>
        <w:spacing w:line="360" w:lineRule="auto"/>
        <w:rPr>
          <w:rFonts w:asciiTheme="minorHAnsi" w:hAnsiTheme="minorHAnsi" w:cstheme="minorHAnsi"/>
          <w:b/>
          <w:lang w:val="en-GB"/>
        </w:rPr>
      </w:pPr>
      <w:r w:rsidRPr="00687F57">
        <w:rPr>
          <w:rFonts w:asciiTheme="minorHAnsi" w:hAnsiTheme="minorHAnsi" w:cstheme="minorHAnsi"/>
          <w:b/>
        </w:rPr>
        <w:t>Έναρξη ισχύος</w:t>
      </w:r>
      <w:bookmarkStart w:id="0" w:name="_GoBack"/>
      <w:bookmarkEnd w:id="0"/>
    </w:p>
    <w:p w:rsidR="0002236B" w:rsidRPr="00687F57" w:rsidRDefault="0002236B" w:rsidP="005E0F67">
      <w:pPr>
        <w:spacing w:line="360" w:lineRule="auto"/>
        <w:outlineLvl w:val="0"/>
        <w:rPr>
          <w:rFonts w:asciiTheme="minorHAnsi" w:hAnsiTheme="minorHAnsi" w:cstheme="minorHAnsi"/>
          <w:bCs/>
        </w:rPr>
      </w:pPr>
      <w:r w:rsidRPr="00687F57">
        <w:rPr>
          <w:rFonts w:asciiTheme="minorHAnsi" w:hAnsiTheme="minorHAnsi" w:cstheme="minorHAnsi"/>
          <w:bCs/>
        </w:rPr>
        <w:t>Με το προτεινόμενο άρθρο προβλέπεται η έναρξη ισχύος από την δημοσίευση του νόμου στην Εφημερίδα της Κυβερνήσεως, εκτός εάν ορίζεται άλλως σε επιμέρους διατάξεις του.</w:t>
      </w:r>
    </w:p>
    <w:p w:rsidR="0002236B" w:rsidRPr="00687F57" w:rsidRDefault="0002236B" w:rsidP="00A021DD">
      <w:pPr>
        <w:shd w:val="clear" w:color="auto" w:fill="FFFFFF"/>
        <w:spacing w:line="360" w:lineRule="auto"/>
        <w:jc w:val="both"/>
        <w:rPr>
          <w:rFonts w:asciiTheme="minorHAnsi" w:hAnsiTheme="minorHAnsi" w:cstheme="minorHAnsi"/>
          <w:color w:val="000000"/>
        </w:rPr>
      </w:pPr>
    </w:p>
    <w:p w:rsidR="0002236B" w:rsidRPr="00687F57" w:rsidRDefault="0002236B" w:rsidP="00534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360" w:lineRule="auto"/>
        <w:ind w:hanging="450"/>
        <w:jc w:val="center"/>
        <w:rPr>
          <w:rFonts w:asciiTheme="minorHAnsi" w:hAnsiTheme="minorHAnsi" w:cstheme="minorHAnsi"/>
          <w:spacing w:val="10"/>
        </w:rPr>
      </w:pPr>
      <w:r w:rsidRPr="00687F57">
        <w:rPr>
          <w:rFonts w:asciiTheme="minorHAnsi" w:hAnsiTheme="minorHAnsi" w:cstheme="minorHAnsi"/>
          <w:spacing w:val="10"/>
        </w:rPr>
        <w:t>Αθήνα,             2020</w:t>
      </w:r>
    </w:p>
    <w:p w:rsidR="0002236B" w:rsidRPr="00687F57" w:rsidRDefault="0002236B" w:rsidP="003D0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hanging="450"/>
        <w:jc w:val="center"/>
        <w:rPr>
          <w:rFonts w:asciiTheme="minorHAnsi" w:hAnsiTheme="minorHAnsi" w:cstheme="minorHAnsi"/>
          <w:b/>
          <w:bCs/>
        </w:rPr>
      </w:pPr>
      <w:r w:rsidRPr="00687F57">
        <w:rPr>
          <w:rFonts w:asciiTheme="minorHAnsi" w:hAnsiTheme="minorHAnsi" w:cstheme="minorHAnsi"/>
          <w:b/>
          <w:spacing w:val="10"/>
        </w:rPr>
        <w:t>ΟΙ ΥΠΟΥΡΓΟΙ</w:t>
      </w:r>
    </w:p>
    <w:p w:rsidR="0002236B" w:rsidRPr="00687F57" w:rsidRDefault="0002236B" w:rsidP="00994E3C">
      <w:pPr>
        <w:autoSpaceDE w:val="0"/>
        <w:autoSpaceDN w:val="0"/>
        <w:adjustRightInd w:val="0"/>
        <w:spacing w:after="200" w:line="360" w:lineRule="auto"/>
        <w:jc w:val="center"/>
        <w:rPr>
          <w:rFonts w:asciiTheme="minorHAnsi" w:hAnsiTheme="minorHAnsi" w:cstheme="minorHAnsi"/>
          <w:b/>
          <w:bCs/>
        </w:rPr>
      </w:pPr>
    </w:p>
    <w:p w:rsidR="0002236B" w:rsidRPr="00687F57" w:rsidRDefault="0002236B" w:rsidP="00994E3C">
      <w:pPr>
        <w:autoSpaceDE w:val="0"/>
        <w:autoSpaceDN w:val="0"/>
        <w:adjustRightInd w:val="0"/>
        <w:spacing w:before="120" w:after="120" w:line="360" w:lineRule="auto"/>
        <w:ind w:right="-154"/>
        <w:jc w:val="both"/>
        <w:rPr>
          <w:rFonts w:asciiTheme="minorHAnsi" w:hAnsiTheme="minorHAnsi" w:cstheme="minorHAnsi"/>
          <w:color w:val="000000"/>
        </w:rPr>
      </w:pPr>
    </w:p>
    <w:p w:rsidR="0002236B" w:rsidRPr="00687F57" w:rsidRDefault="0002236B" w:rsidP="004870C1">
      <w:pPr>
        <w:autoSpaceDE w:val="0"/>
        <w:autoSpaceDN w:val="0"/>
        <w:adjustRightInd w:val="0"/>
        <w:spacing w:before="120" w:after="120" w:line="360" w:lineRule="auto"/>
        <w:ind w:right="-154"/>
        <w:jc w:val="both"/>
        <w:rPr>
          <w:rFonts w:asciiTheme="minorHAnsi" w:hAnsiTheme="minorHAnsi" w:cstheme="minorHAnsi"/>
          <w:color w:val="000000"/>
        </w:rPr>
      </w:pPr>
    </w:p>
    <w:p w:rsidR="0002236B" w:rsidRPr="00687F57" w:rsidRDefault="0002236B" w:rsidP="00365DE3">
      <w:pPr>
        <w:autoSpaceDE w:val="0"/>
        <w:autoSpaceDN w:val="0"/>
        <w:adjustRightInd w:val="0"/>
        <w:spacing w:after="200" w:line="360" w:lineRule="auto"/>
        <w:rPr>
          <w:rFonts w:asciiTheme="minorHAnsi" w:hAnsiTheme="minorHAnsi" w:cstheme="minorHAnsi"/>
          <w:color w:val="000000"/>
        </w:rPr>
      </w:pPr>
    </w:p>
    <w:p w:rsidR="0002236B" w:rsidRPr="00687F57" w:rsidRDefault="0002236B" w:rsidP="001E0C0F">
      <w:pPr>
        <w:spacing w:line="360" w:lineRule="auto"/>
        <w:jc w:val="both"/>
        <w:rPr>
          <w:rFonts w:asciiTheme="minorHAnsi" w:hAnsiTheme="minorHAnsi" w:cstheme="minorHAnsi"/>
        </w:rPr>
      </w:pPr>
    </w:p>
    <w:p w:rsidR="0002236B" w:rsidRPr="00687F57" w:rsidRDefault="0002236B" w:rsidP="001E0C0F">
      <w:pPr>
        <w:spacing w:line="360" w:lineRule="auto"/>
        <w:jc w:val="both"/>
        <w:rPr>
          <w:rFonts w:asciiTheme="minorHAnsi" w:hAnsiTheme="minorHAnsi" w:cstheme="minorHAnsi"/>
          <w:b/>
        </w:rPr>
      </w:pPr>
    </w:p>
    <w:sectPr w:rsidR="0002236B" w:rsidRPr="00687F57" w:rsidSect="007F13E4">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D50" w:rsidRDefault="00200D50" w:rsidP="00E52F15">
      <w:r>
        <w:separator/>
      </w:r>
    </w:p>
  </w:endnote>
  <w:endnote w:type="continuationSeparator" w:id="0">
    <w:p w:rsidR="00200D50" w:rsidRDefault="00200D50" w:rsidP="00E52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A" w:rsidRDefault="00BB10CA">
    <w:pPr>
      <w:pStyle w:val="Footer"/>
      <w:jc w:val="right"/>
    </w:pPr>
    <w:fldSimple w:instr=" PAGE   \* MERGEFORMAT ">
      <w:r w:rsidR="002A29AB">
        <w:rPr>
          <w:noProof/>
        </w:rPr>
        <w:t>15</w:t>
      </w:r>
    </w:fldSimple>
  </w:p>
  <w:p w:rsidR="00BB10CA" w:rsidRDefault="00BB1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D50" w:rsidRDefault="00200D50" w:rsidP="00E52F15">
      <w:r>
        <w:separator/>
      </w:r>
    </w:p>
  </w:footnote>
  <w:footnote w:type="continuationSeparator" w:id="0">
    <w:p w:rsidR="00200D50" w:rsidRDefault="00200D50" w:rsidP="00E52F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76EB6"/>
    <w:multiLevelType w:val="hybridMultilevel"/>
    <w:tmpl w:val="88AA51A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5C085704"/>
    <w:multiLevelType w:val="hybridMultilevel"/>
    <w:tmpl w:val="729EA2A4"/>
    <w:lvl w:ilvl="0" w:tplc="0CAA309E">
      <w:start w:val="1"/>
      <w:numFmt w:val="decimal"/>
      <w:lvlText w:val="%1."/>
      <w:lvlJc w:val="left"/>
      <w:pPr>
        <w:ind w:left="502" w:hanging="360"/>
      </w:pPr>
      <w:rPr>
        <w:rFonts w:cs="Times New Roman" w:hint="default"/>
        <w:b/>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2">
    <w:nsid w:val="70827A0D"/>
    <w:multiLevelType w:val="hybridMultilevel"/>
    <w:tmpl w:val="B768C02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Κουτνατζής Στυλιανός- Ιωάννης">
    <w15:presenceInfo w15:providerId="AD" w15:userId="S-1-5-21-448539723-1004336348-682003330-84356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rsids>
    <w:rsidRoot w:val="003D2D62"/>
    <w:rsid w:val="00005458"/>
    <w:rsid w:val="0000662D"/>
    <w:rsid w:val="00013774"/>
    <w:rsid w:val="00013911"/>
    <w:rsid w:val="0001736D"/>
    <w:rsid w:val="0002236B"/>
    <w:rsid w:val="000235B3"/>
    <w:rsid w:val="00023FC4"/>
    <w:rsid w:val="0002715A"/>
    <w:rsid w:val="00031F4C"/>
    <w:rsid w:val="00042F7D"/>
    <w:rsid w:val="000451B7"/>
    <w:rsid w:val="00054F5D"/>
    <w:rsid w:val="00057F24"/>
    <w:rsid w:val="00060EFD"/>
    <w:rsid w:val="0006615E"/>
    <w:rsid w:val="000701EB"/>
    <w:rsid w:val="00074BA1"/>
    <w:rsid w:val="00081F0D"/>
    <w:rsid w:val="00085297"/>
    <w:rsid w:val="00094E70"/>
    <w:rsid w:val="00097383"/>
    <w:rsid w:val="000A2C4C"/>
    <w:rsid w:val="000B0E35"/>
    <w:rsid w:val="000B0F2E"/>
    <w:rsid w:val="000B1872"/>
    <w:rsid w:val="000B3239"/>
    <w:rsid w:val="000B64EF"/>
    <w:rsid w:val="000B7CF6"/>
    <w:rsid w:val="000C001F"/>
    <w:rsid w:val="000C1D36"/>
    <w:rsid w:val="000C3E42"/>
    <w:rsid w:val="000C41B4"/>
    <w:rsid w:val="000C4BF0"/>
    <w:rsid w:val="000C5E5D"/>
    <w:rsid w:val="000E0A45"/>
    <w:rsid w:val="000E106B"/>
    <w:rsid w:val="000E111F"/>
    <w:rsid w:val="000E4D2D"/>
    <w:rsid w:val="000E6494"/>
    <w:rsid w:val="00105720"/>
    <w:rsid w:val="00114295"/>
    <w:rsid w:val="00116725"/>
    <w:rsid w:val="00120A94"/>
    <w:rsid w:val="00126160"/>
    <w:rsid w:val="00126233"/>
    <w:rsid w:val="00131B7B"/>
    <w:rsid w:val="0014417A"/>
    <w:rsid w:val="00146A56"/>
    <w:rsid w:val="00146B50"/>
    <w:rsid w:val="00146C91"/>
    <w:rsid w:val="0015069C"/>
    <w:rsid w:val="00152F4A"/>
    <w:rsid w:val="00157616"/>
    <w:rsid w:val="00161CBE"/>
    <w:rsid w:val="00162929"/>
    <w:rsid w:val="00174C5C"/>
    <w:rsid w:val="0018396E"/>
    <w:rsid w:val="001A077C"/>
    <w:rsid w:val="001A0A64"/>
    <w:rsid w:val="001A2482"/>
    <w:rsid w:val="001B152F"/>
    <w:rsid w:val="001B308E"/>
    <w:rsid w:val="001B5A04"/>
    <w:rsid w:val="001C2BE5"/>
    <w:rsid w:val="001C3114"/>
    <w:rsid w:val="001C58A4"/>
    <w:rsid w:val="001C770A"/>
    <w:rsid w:val="001D5E60"/>
    <w:rsid w:val="001E0C0F"/>
    <w:rsid w:val="001E72E3"/>
    <w:rsid w:val="001F096B"/>
    <w:rsid w:val="001F0A52"/>
    <w:rsid w:val="001F3C1F"/>
    <w:rsid w:val="001F44C2"/>
    <w:rsid w:val="001F5738"/>
    <w:rsid w:val="00200D50"/>
    <w:rsid w:val="002035B2"/>
    <w:rsid w:val="002101C6"/>
    <w:rsid w:val="00211609"/>
    <w:rsid w:val="002150CD"/>
    <w:rsid w:val="0021588E"/>
    <w:rsid w:val="002316D9"/>
    <w:rsid w:val="00247856"/>
    <w:rsid w:val="00253DA8"/>
    <w:rsid w:val="00255945"/>
    <w:rsid w:val="0026060E"/>
    <w:rsid w:val="00263D1C"/>
    <w:rsid w:val="00265990"/>
    <w:rsid w:val="002668D6"/>
    <w:rsid w:val="00270AA5"/>
    <w:rsid w:val="00277544"/>
    <w:rsid w:val="0028182E"/>
    <w:rsid w:val="00285C0F"/>
    <w:rsid w:val="002935EE"/>
    <w:rsid w:val="002A1FFA"/>
    <w:rsid w:val="002A29AB"/>
    <w:rsid w:val="002A5048"/>
    <w:rsid w:val="002B7C35"/>
    <w:rsid w:val="002C1A40"/>
    <w:rsid w:val="002C7ED4"/>
    <w:rsid w:val="002D176B"/>
    <w:rsid w:val="002D3548"/>
    <w:rsid w:val="002D423B"/>
    <w:rsid w:val="002E11B7"/>
    <w:rsid w:val="002E5305"/>
    <w:rsid w:val="002F2F69"/>
    <w:rsid w:val="00302F2B"/>
    <w:rsid w:val="00303EBC"/>
    <w:rsid w:val="003040D4"/>
    <w:rsid w:val="0031007E"/>
    <w:rsid w:val="003100CC"/>
    <w:rsid w:val="0032444F"/>
    <w:rsid w:val="003334ED"/>
    <w:rsid w:val="00337B4A"/>
    <w:rsid w:val="0034306E"/>
    <w:rsid w:val="003442D3"/>
    <w:rsid w:val="00351330"/>
    <w:rsid w:val="00356FD2"/>
    <w:rsid w:val="00365DE3"/>
    <w:rsid w:val="003721DB"/>
    <w:rsid w:val="003811E8"/>
    <w:rsid w:val="00387DDD"/>
    <w:rsid w:val="003917A8"/>
    <w:rsid w:val="0039569E"/>
    <w:rsid w:val="003A0349"/>
    <w:rsid w:val="003B2BA1"/>
    <w:rsid w:val="003B3EF0"/>
    <w:rsid w:val="003B7FDD"/>
    <w:rsid w:val="003C4141"/>
    <w:rsid w:val="003C6F46"/>
    <w:rsid w:val="003D0CB8"/>
    <w:rsid w:val="003D1F4F"/>
    <w:rsid w:val="003D2D62"/>
    <w:rsid w:val="003D40CA"/>
    <w:rsid w:val="003E16A2"/>
    <w:rsid w:val="00431BB2"/>
    <w:rsid w:val="00433DAC"/>
    <w:rsid w:val="0044234E"/>
    <w:rsid w:val="00465A1E"/>
    <w:rsid w:val="00467BA2"/>
    <w:rsid w:val="004840FB"/>
    <w:rsid w:val="004870C1"/>
    <w:rsid w:val="0049121E"/>
    <w:rsid w:val="00491E34"/>
    <w:rsid w:val="00491E8A"/>
    <w:rsid w:val="00493D73"/>
    <w:rsid w:val="0049503D"/>
    <w:rsid w:val="004959D0"/>
    <w:rsid w:val="004A12BB"/>
    <w:rsid w:val="004A5851"/>
    <w:rsid w:val="004A6DD9"/>
    <w:rsid w:val="004B0C58"/>
    <w:rsid w:val="004B239B"/>
    <w:rsid w:val="004B4307"/>
    <w:rsid w:val="004C34E2"/>
    <w:rsid w:val="004D2E95"/>
    <w:rsid w:val="004F41A6"/>
    <w:rsid w:val="004F6583"/>
    <w:rsid w:val="00500692"/>
    <w:rsid w:val="005067C4"/>
    <w:rsid w:val="00516380"/>
    <w:rsid w:val="005233A1"/>
    <w:rsid w:val="00524C4C"/>
    <w:rsid w:val="00534357"/>
    <w:rsid w:val="00537371"/>
    <w:rsid w:val="00546AE0"/>
    <w:rsid w:val="005511B0"/>
    <w:rsid w:val="00565838"/>
    <w:rsid w:val="005762BE"/>
    <w:rsid w:val="00592506"/>
    <w:rsid w:val="005A007E"/>
    <w:rsid w:val="005A44E5"/>
    <w:rsid w:val="005A6021"/>
    <w:rsid w:val="005B06D8"/>
    <w:rsid w:val="005C5295"/>
    <w:rsid w:val="005D4113"/>
    <w:rsid w:val="005D714C"/>
    <w:rsid w:val="005E0F67"/>
    <w:rsid w:val="005E498C"/>
    <w:rsid w:val="005F2FAF"/>
    <w:rsid w:val="00611DAC"/>
    <w:rsid w:val="00615468"/>
    <w:rsid w:val="0062075E"/>
    <w:rsid w:val="00622A6C"/>
    <w:rsid w:val="006342B9"/>
    <w:rsid w:val="006376B8"/>
    <w:rsid w:val="00637C7B"/>
    <w:rsid w:val="00644654"/>
    <w:rsid w:val="0064731C"/>
    <w:rsid w:val="00650379"/>
    <w:rsid w:val="00655D1D"/>
    <w:rsid w:val="006613F6"/>
    <w:rsid w:val="006616CC"/>
    <w:rsid w:val="00670DF7"/>
    <w:rsid w:val="00675939"/>
    <w:rsid w:val="00685C5E"/>
    <w:rsid w:val="00687F57"/>
    <w:rsid w:val="00690BAE"/>
    <w:rsid w:val="00695C4F"/>
    <w:rsid w:val="006A2BA7"/>
    <w:rsid w:val="006B0582"/>
    <w:rsid w:val="006B1CFA"/>
    <w:rsid w:val="006B1D5B"/>
    <w:rsid w:val="006C0983"/>
    <w:rsid w:val="006C6A24"/>
    <w:rsid w:val="006E1B4F"/>
    <w:rsid w:val="006E3EFE"/>
    <w:rsid w:val="006E5067"/>
    <w:rsid w:val="006F425D"/>
    <w:rsid w:val="006F7A05"/>
    <w:rsid w:val="00720965"/>
    <w:rsid w:val="00735387"/>
    <w:rsid w:val="007354BC"/>
    <w:rsid w:val="00753A95"/>
    <w:rsid w:val="007610F6"/>
    <w:rsid w:val="00762800"/>
    <w:rsid w:val="00771A1E"/>
    <w:rsid w:val="00787084"/>
    <w:rsid w:val="00791BE8"/>
    <w:rsid w:val="00792336"/>
    <w:rsid w:val="00793269"/>
    <w:rsid w:val="007934A1"/>
    <w:rsid w:val="00794589"/>
    <w:rsid w:val="0079606A"/>
    <w:rsid w:val="007966C4"/>
    <w:rsid w:val="007A124A"/>
    <w:rsid w:val="007A46D0"/>
    <w:rsid w:val="007A52FA"/>
    <w:rsid w:val="007A5F87"/>
    <w:rsid w:val="007B7F97"/>
    <w:rsid w:val="007C140F"/>
    <w:rsid w:val="007C1BEA"/>
    <w:rsid w:val="007C2EA5"/>
    <w:rsid w:val="007D0C90"/>
    <w:rsid w:val="007D254D"/>
    <w:rsid w:val="007D2863"/>
    <w:rsid w:val="007D29BD"/>
    <w:rsid w:val="007D3691"/>
    <w:rsid w:val="007E3832"/>
    <w:rsid w:val="007E398A"/>
    <w:rsid w:val="007E50D2"/>
    <w:rsid w:val="007F13E4"/>
    <w:rsid w:val="007F3471"/>
    <w:rsid w:val="00825F63"/>
    <w:rsid w:val="00832FAA"/>
    <w:rsid w:val="00833A39"/>
    <w:rsid w:val="00836BC5"/>
    <w:rsid w:val="00842CF0"/>
    <w:rsid w:val="0085293A"/>
    <w:rsid w:val="00853EAC"/>
    <w:rsid w:val="0087546A"/>
    <w:rsid w:val="00891865"/>
    <w:rsid w:val="008943F7"/>
    <w:rsid w:val="008A42E7"/>
    <w:rsid w:val="008C30C0"/>
    <w:rsid w:val="008C78EC"/>
    <w:rsid w:val="008D2539"/>
    <w:rsid w:val="008D7ACE"/>
    <w:rsid w:val="008E01CA"/>
    <w:rsid w:val="008E2D74"/>
    <w:rsid w:val="008E3420"/>
    <w:rsid w:val="008E71C5"/>
    <w:rsid w:val="008F0B38"/>
    <w:rsid w:val="00902B56"/>
    <w:rsid w:val="00905311"/>
    <w:rsid w:val="00910447"/>
    <w:rsid w:val="00910607"/>
    <w:rsid w:val="0091289A"/>
    <w:rsid w:val="0093183C"/>
    <w:rsid w:val="0093513E"/>
    <w:rsid w:val="00937586"/>
    <w:rsid w:val="009414FD"/>
    <w:rsid w:val="00954363"/>
    <w:rsid w:val="009568FE"/>
    <w:rsid w:val="00963E8B"/>
    <w:rsid w:val="00972765"/>
    <w:rsid w:val="009727C5"/>
    <w:rsid w:val="009777A1"/>
    <w:rsid w:val="00982E73"/>
    <w:rsid w:val="00994E3C"/>
    <w:rsid w:val="009B31F0"/>
    <w:rsid w:val="009B3860"/>
    <w:rsid w:val="009B4F06"/>
    <w:rsid w:val="009D7217"/>
    <w:rsid w:val="009D796F"/>
    <w:rsid w:val="009E3075"/>
    <w:rsid w:val="009E6EE5"/>
    <w:rsid w:val="009E7363"/>
    <w:rsid w:val="00A021DD"/>
    <w:rsid w:val="00A10BBA"/>
    <w:rsid w:val="00A11331"/>
    <w:rsid w:val="00A17D17"/>
    <w:rsid w:val="00A23463"/>
    <w:rsid w:val="00A24DFD"/>
    <w:rsid w:val="00A325A2"/>
    <w:rsid w:val="00A335BB"/>
    <w:rsid w:val="00A43CC0"/>
    <w:rsid w:val="00A5289E"/>
    <w:rsid w:val="00A56651"/>
    <w:rsid w:val="00A56A40"/>
    <w:rsid w:val="00A66020"/>
    <w:rsid w:val="00A66B8B"/>
    <w:rsid w:val="00A714A6"/>
    <w:rsid w:val="00A73AAF"/>
    <w:rsid w:val="00AA64DB"/>
    <w:rsid w:val="00AC259F"/>
    <w:rsid w:val="00AC79BD"/>
    <w:rsid w:val="00AD7BC8"/>
    <w:rsid w:val="00AE39D4"/>
    <w:rsid w:val="00AE55B1"/>
    <w:rsid w:val="00AE560F"/>
    <w:rsid w:val="00AE5F2A"/>
    <w:rsid w:val="00AE7BE1"/>
    <w:rsid w:val="00AF6A49"/>
    <w:rsid w:val="00B01A87"/>
    <w:rsid w:val="00B02197"/>
    <w:rsid w:val="00B02740"/>
    <w:rsid w:val="00B02851"/>
    <w:rsid w:val="00B0513A"/>
    <w:rsid w:val="00B05804"/>
    <w:rsid w:val="00B13F67"/>
    <w:rsid w:val="00B2170A"/>
    <w:rsid w:val="00B222AF"/>
    <w:rsid w:val="00B24609"/>
    <w:rsid w:val="00B278B0"/>
    <w:rsid w:val="00B33500"/>
    <w:rsid w:val="00B33D1A"/>
    <w:rsid w:val="00B47BC3"/>
    <w:rsid w:val="00B5238D"/>
    <w:rsid w:val="00B675A8"/>
    <w:rsid w:val="00B70058"/>
    <w:rsid w:val="00B714D5"/>
    <w:rsid w:val="00B721D2"/>
    <w:rsid w:val="00B92EEC"/>
    <w:rsid w:val="00BA2003"/>
    <w:rsid w:val="00BA4CAC"/>
    <w:rsid w:val="00BB10CA"/>
    <w:rsid w:val="00BB293B"/>
    <w:rsid w:val="00BC4D41"/>
    <w:rsid w:val="00BD5E4C"/>
    <w:rsid w:val="00BD68E0"/>
    <w:rsid w:val="00BF4362"/>
    <w:rsid w:val="00C06DFC"/>
    <w:rsid w:val="00C243B8"/>
    <w:rsid w:val="00C25679"/>
    <w:rsid w:val="00C275B3"/>
    <w:rsid w:val="00C3437D"/>
    <w:rsid w:val="00C35CE9"/>
    <w:rsid w:val="00C445E1"/>
    <w:rsid w:val="00C452E3"/>
    <w:rsid w:val="00C52EC1"/>
    <w:rsid w:val="00C64E86"/>
    <w:rsid w:val="00C65441"/>
    <w:rsid w:val="00C670E5"/>
    <w:rsid w:val="00C7651B"/>
    <w:rsid w:val="00C77391"/>
    <w:rsid w:val="00C84ACB"/>
    <w:rsid w:val="00CA1F20"/>
    <w:rsid w:val="00CA335E"/>
    <w:rsid w:val="00CA5884"/>
    <w:rsid w:val="00CB33AA"/>
    <w:rsid w:val="00CC0022"/>
    <w:rsid w:val="00CC4F65"/>
    <w:rsid w:val="00CC5E88"/>
    <w:rsid w:val="00CC72BD"/>
    <w:rsid w:val="00CD1460"/>
    <w:rsid w:val="00CE008C"/>
    <w:rsid w:val="00CE57E3"/>
    <w:rsid w:val="00CF4FA2"/>
    <w:rsid w:val="00CF75D3"/>
    <w:rsid w:val="00D031F7"/>
    <w:rsid w:val="00D0363E"/>
    <w:rsid w:val="00D05619"/>
    <w:rsid w:val="00D122A1"/>
    <w:rsid w:val="00D13C30"/>
    <w:rsid w:val="00D1675C"/>
    <w:rsid w:val="00D20269"/>
    <w:rsid w:val="00D23D0E"/>
    <w:rsid w:val="00D25882"/>
    <w:rsid w:val="00D26C12"/>
    <w:rsid w:val="00D2742A"/>
    <w:rsid w:val="00D27683"/>
    <w:rsid w:val="00D329C6"/>
    <w:rsid w:val="00D461D1"/>
    <w:rsid w:val="00D50EA0"/>
    <w:rsid w:val="00D579FF"/>
    <w:rsid w:val="00D65A28"/>
    <w:rsid w:val="00D72F52"/>
    <w:rsid w:val="00D74166"/>
    <w:rsid w:val="00D8001B"/>
    <w:rsid w:val="00D874AF"/>
    <w:rsid w:val="00D9257B"/>
    <w:rsid w:val="00D9302D"/>
    <w:rsid w:val="00DA117F"/>
    <w:rsid w:val="00DB2D7F"/>
    <w:rsid w:val="00DB41E3"/>
    <w:rsid w:val="00DB74BF"/>
    <w:rsid w:val="00DC0E13"/>
    <w:rsid w:val="00DC188B"/>
    <w:rsid w:val="00DC22CB"/>
    <w:rsid w:val="00DC34FF"/>
    <w:rsid w:val="00DE20BC"/>
    <w:rsid w:val="00DE3B1F"/>
    <w:rsid w:val="00DE5B07"/>
    <w:rsid w:val="00DE7CE6"/>
    <w:rsid w:val="00DF4E5C"/>
    <w:rsid w:val="00E02707"/>
    <w:rsid w:val="00E040D3"/>
    <w:rsid w:val="00E179E9"/>
    <w:rsid w:val="00E24C30"/>
    <w:rsid w:val="00E2770A"/>
    <w:rsid w:val="00E329AA"/>
    <w:rsid w:val="00E375F0"/>
    <w:rsid w:val="00E41322"/>
    <w:rsid w:val="00E47D73"/>
    <w:rsid w:val="00E5067E"/>
    <w:rsid w:val="00E52F15"/>
    <w:rsid w:val="00E5457A"/>
    <w:rsid w:val="00E5518C"/>
    <w:rsid w:val="00E556AA"/>
    <w:rsid w:val="00E649FF"/>
    <w:rsid w:val="00E65C6B"/>
    <w:rsid w:val="00E73A4A"/>
    <w:rsid w:val="00E767B2"/>
    <w:rsid w:val="00E80E17"/>
    <w:rsid w:val="00E832F1"/>
    <w:rsid w:val="00E96053"/>
    <w:rsid w:val="00EA6219"/>
    <w:rsid w:val="00EB55B4"/>
    <w:rsid w:val="00EE0ACF"/>
    <w:rsid w:val="00EE1611"/>
    <w:rsid w:val="00EF3DD5"/>
    <w:rsid w:val="00EF5938"/>
    <w:rsid w:val="00F0240E"/>
    <w:rsid w:val="00F0728F"/>
    <w:rsid w:val="00F201C3"/>
    <w:rsid w:val="00F22DF3"/>
    <w:rsid w:val="00F31C93"/>
    <w:rsid w:val="00F36CBE"/>
    <w:rsid w:val="00F4322C"/>
    <w:rsid w:val="00F50121"/>
    <w:rsid w:val="00F568C6"/>
    <w:rsid w:val="00F60F0F"/>
    <w:rsid w:val="00F765D1"/>
    <w:rsid w:val="00F80767"/>
    <w:rsid w:val="00F87CB5"/>
    <w:rsid w:val="00F93422"/>
    <w:rsid w:val="00F9756E"/>
    <w:rsid w:val="00FA758C"/>
    <w:rsid w:val="00FB222B"/>
    <w:rsid w:val="00FB388D"/>
    <w:rsid w:val="00FC5414"/>
    <w:rsid w:val="00FC5E9C"/>
    <w:rsid w:val="00FD1A4D"/>
    <w:rsid w:val="00FE0F08"/>
    <w:rsid w:val="00FE5E50"/>
    <w:rsid w:val="00FF09A8"/>
    <w:rsid w:val="00FF107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E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D9302D"/>
    <w:rPr>
      <w:rFonts w:cs="Times New Roman"/>
      <w:sz w:val="16"/>
      <w:szCs w:val="16"/>
    </w:rPr>
  </w:style>
  <w:style w:type="paragraph" w:styleId="CommentText">
    <w:name w:val="annotation text"/>
    <w:basedOn w:val="Normal"/>
    <w:link w:val="CommentTextChar"/>
    <w:uiPriority w:val="99"/>
    <w:rsid w:val="00D9302D"/>
    <w:rPr>
      <w:sz w:val="20"/>
      <w:szCs w:val="20"/>
    </w:rPr>
  </w:style>
  <w:style w:type="character" w:customStyle="1" w:styleId="CommentTextChar">
    <w:name w:val="Comment Text Char"/>
    <w:basedOn w:val="DefaultParagraphFont"/>
    <w:link w:val="CommentText"/>
    <w:uiPriority w:val="99"/>
    <w:locked/>
    <w:rsid w:val="00D9302D"/>
    <w:rPr>
      <w:rFonts w:cs="Times New Roman"/>
    </w:rPr>
  </w:style>
  <w:style w:type="paragraph" w:styleId="CommentSubject">
    <w:name w:val="annotation subject"/>
    <w:basedOn w:val="CommentText"/>
    <w:next w:val="CommentText"/>
    <w:link w:val="CommentSubjectChar"/>
    <w:uiPriority w:val="99"/>
    <w:rsid w:val="00D9302D"/>
    <w:rPr>
      <w:b/>
      <w:bCs/>
    </w:rPr>
  </w:style>
  <w:style w:type="character" w:customStyle="1" w:styleId="CommentSubjectChar">
    <w:name w:val="Comment Subject Char"/>
    <w:basedOn w:val="CommentTextChar"/>
    <w:link w:val="CommentSubject"/>
    <w:uiPriority w:val="99"/>
    <w:locked/>
    <w:rsid w:val="00D9302D"/>
    <w:rPr>
      <w:rFonts w:cs="Times New Roman"/>
      <w:b/>
      <w:bCs/>
    </w:rPr>
  </w:style>
  <w:style w:type="paragraph" w:styleId="BalloonText">
    <w:name w:val="Balloon Text"/>
    <w:basedOn w:val="Normal"/>
    <w:link w:val="BalloonTextChar"/>
    <w:uiPriority w:val="99"/>
    <w:rsid w:val="00D9302D"/>
    <w:rPr>
      <w:rFonts w:ascii="Tahoma" w:hAnsi="Tahoma" w:cs="Tahoma"/>
      <w:sz w:val="16"/>
      <w:szCs w:val="16"/>
    </w:rPr>
  </w:style>
  <w:style w:type="character" w:customStyle="1" w:styleId="BalloonTextChar">
    <w:name w:val="Balloon Text Char"/>
    <w:basedOn w:val="DefaultParagraphFont"/>
    <w:link w:val="BalloonText"/>
    <w:uiPriority w:val="99"/>
    <w:locked/>
    <w:rsid w:val="00D9302D"/>
    <w:rPr>
      <w:rFonts w:ascii="Tahoma" w:hAnsi="Tahoma" w:cs="Tahoma"/>
      <w:sz w:val="16"/>
      <w:szCs w:val="16"/>
    </w:rPr>
  </w:style>
  <w:style w:type="paragraph" w:styleId="ListParagraph">
    <w:name w:val="List Paragraph"/>
    <w:basedOn w:val="Normal"/>
    <w:uiPriority w:val="99"/>
    <w:qFormat/>
    <w:rsid w:val="008943F7"/>
    <w:pPr>
      <w:spacing w:after="200" w:line="276" w:lineRule="auto"/>
      <w:ind w:left="720"/>
    </w:pPr>
    <w:rPr>
      <w:rFonts w:ascii="Calibri" w:hAnsi="Calibri"/>
      <w:sz w:val="22"/>
      <w:szCs w:val="22"/>
    </w:rPr>
  </w:style>
  <w:style w:type="paragraph" w:customStyle="1" w:styleId="title-doc-first">
    <w:name w:val="title-doc-first"/>
    <w:basedOn w:val="Normal"/>
    <w:uiPriority w:val="99"/>
    <w:rsid w:val="00BA2003"/>
    <w:pPr>
      <w:spacing w:before="100" w:beforeAutospacing="1" w:after="100" w:afterAutospacing="1"/>
    </w:pPr>
  </w:style>
  <w:style w:type="table" w:styleId="TableGrid">
    <w:name w:val="Table Grid"/>
    <w:basedOn w:val="TableNormal"/>
    <w:uiPriority w:val="99"/>
    <w:rsid w:val="004870C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E72E3"/>
    <w:rPr>
      <w:rFonts w:cs="Times New Roman"/>
      <w:color w:val="0000FF"/>
      <w:u w:val="single"/>
    </w:rPr>
  </w:style>
  <w:style w:type="paragraph" w:customStyle="1" w:styleId="Default">
    <w:name w:val="Default"/>
    <w:uiPriority w:val="99"/>
    <w:rsid w:val="00954363"/>
    <w:pPr>
      <w:suppressAutoHyphens/>
      <w:autoSpaceDE w:val="0"/>
    </w:pPr>
    <w:rPr>
      <w:rFonts w:ascii="EUAlbertina" w:hAnsi="EUAlbertina" w:cs="EUAlbertina"/>
      <w:color w:val="000000"/>
      <w:sz w:val="24"/>
      <w:szCs w:val="24"/>
      <w:lang w:eastAsia="ar-SA"/>
    </w:rPr>
  </w:style>
  <w:style w:type="paragraph" w:styleId="NormalWeb">
    <w:name w:val="Normal (Web)"/>
    <w:basedOn w:val="Normal"/>
    <w:uiPriority w:val="99"/>
    <w:rsid w:val="00954363"/>
    <w:pPr>
      <w:spacing w:before="100" w:beforeAutospacing="1" w:after="119"/>
    </w:pPr>
  </w:style>
  <w:style w:type="paragraph" w:styleId="HTMLPreformatted">
    <w:name w:val="HTML Preformatted"/>
    <w:basedOn w:val="Normal"/>
    <w:link w:val="HTMLPreformattedChar"/>
    <w:uiPriority w:val="99"/>
    <w:rsid w:val="00832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832FAA"/>
    <w:rPr>
      <w:rFonts w:ascii="Courier New" w:hAnsi="Courier New" w:cs="Courier New"/>
    </w:rPr>
  </w:style>
  <w:style w:type="character" w:customStyle="1" w:styleId="BodyText3Char">
    <w:name w:val="Body Text 3 Char"/>
    <w:link w:val="BodyText3"/>
    <w:uiPriority w:val="99"/>
    <w:locked/>
    <w:rsid w:val="002D176B"/>
    <w:rPr>
      <w:rFonts w:ascii="Arial" w:eastAsia="Times New Roman" w:hAnsi="Arial"/>
      <w:b/>
      <w:sz w:val="24"/>
    </w:rPr>
  </w:style>
  <w:style w:type="paragraph" w:styleId="BodyText3">
    <w:name w:val="Body Text 3"/>
    <w:basedOn w:val="Normal"/>
    <w:link w:val="BodyText3Char"/>
    <w:uiPriority w:val="99"/>
    <w:rsid w:val="002D176B"/>
    <w:pPr>
      <w:widowControl w:val="0"/>
      <w:jc w:val="both"/>
    </w:pPr>
    <w:rPr>
      <w:rFonts w:ascii="Arial" w:hAnsi="Arial"/>
      <w:b/>
      <w:bCs/>
      <w:szCs w:val="20"/>
    </w:rPr>
  </w:style>
  <w:style w:type="character" w:customStyle="1" w:styleId="BodyText3Char1">
    <w:name w:val="Body Text 3 Char1"/>
    <w:basedOn w:val="DefaultParagraphFont"/>
    <w:uiPriority w:val="99"/>
    <w:semiHidden/>
    <w:rsid w:val="00160EBD"/>
    <w:rPr>
      <w:sz w:val="16"/>
      <w:szCs w:val="16"/>
    </w:rPr>
  </w:style>
  <w:style w:type="character" w:customStyle="1" w:styleId="3Char1">
    <w:name w:val="Σώμα κείμενου 3 Char1"/>
    <w:basedOn w:val="DefaultParagraphFont"/>
    <w:uiPriority w:val="99"/>
    <w:rsid w:val="002D176B"/>
    <w:rPr>
      <w:rFonts w:cs="Times New Roman"/>
      <w:sz w:val="16"/>
      <w:szCs w:val="16"/>
    </w:rPr>
  </w:style>
  <w:style w:type="paragraph" w:styleId="Header">
    <w:name w:val="header"/>
    <w:basedOn w:val="Normal"/>
    <w:link w:val="HeaderChar"/>
    <w:uiPriority w:val="99"/>
    <w:rsid w:val="00E52F15"/>
    <w:pPr>
      <w:tabs>
        <w:tab w:val="center" w:pos="4153"/>
        <w:tab w:val="right" w:pos="8306"/>
      </w:tabs>
    </w:pPr>
  </w:style>
  <w:style w:type="character" w:customStyle="1" w:styleId="HeaderChar">
    <w:name w:val="Header Char"/>
    <w:basedOn w:val="DefaultParagraphFont"/>
    <w:link w:val="Header"/>
    <w:uiPriority w:val="99"/>
    <w:locked/>
    <w:rsid w:val="00E52F15"/>
    <w:rPr>
      <w:rFonts w:cs="Times New Roman"/>
      <w:sz w:val="24"/>
      <w:szCs w:val="24"/>
    </w:rPr>
  </w:style>
  <w:style w:type="paragraph" w:styleId="Footer">
    <w:name w:val="footer"/>
    <w:basedOn w:val="Normal"/>
    <w:link w:val="FooterChar"/>
    <w:uiPriority w:val="99"/>
    <w:rsid w:val="00E52F15"/>
    <w:pPr>
      <w:tabs>
        <w:tab w:val="center" w:pos="4153"/>
        <w:tab w:val="right" w:pos="8306"/>
      </w:tabs>
    </w:pPr>
  </w:style>
  <w:style w:type="character" w:customStyle="1" w:styleId="FooterChar">
    <w:name w:val="Footer Char"/>
    <w:basedOn w:val="DefaultParagraphFont"/>
    <w:link w:val="Footer"/>
    <w:uiPriority w:val="99"/>
    <w:locked/>
    <w:rsid w:val="00E52F15"/>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418335853">
      <w:marLeft w:val="0"/>
      <w:marRight w:val="0"/>
      <w:marTop w:val="0"/>
      <w:marBottom w:val="0"/>
      <w:divBdr>
        <w:top w:val="none" w:sz="0" w:space="0" w:color="auto"/>
        <w:left w:val="none" w:sz="0" w:space="0" w:color="auto"/>
        <w:bottom w:val="none" w:sz="0" w:space="0" w:color="auto"/>
        <w:right w:val="none" w:sz="0" w:space="0" w:color="auto"/>
      </w:divBdr>
    </w:div>
    <w:div w:id="418335854">
      <w:marLeft w:val="0"/>
      <w:marRight w:val="0"/>
      <w:marTop w:val="0"/>
      <w:marBottom w:val="0"/>
      <w:divBdr>
        <w:top w:val="none" w:sz="0" w:space="0" w:color="auto"/>
        <w:left w:val="none" w:sz="0" w:space="0" w:color="auto"/>
        <w:bottom w:val="none" w:sz="0" w:space="0" w:color="auto"/>
        <w:right w:val="none" w:sz="0" w:space="0" w:color="auto"/>
      </w:divBdr>
    </w:div>
    <w:div w:id="418335855">
      <w:marLeft w:val="0"/>
      <w:marRight w:val="0"/>
      <w:marTop w:val="0"/>
      <w:marBottom w:val="0"/>
      <w:divBdr>
        <w:top w:val="none" w:sz="0" w:space="0" w:color="auto"/>
        <w:left w:val="none" w:sz="0" w:space="0" w:color="auto"/>
        <w:bottom w:val="none" w:sz="0" w:space="0" w:color="auto"/>
        <w:right w:val="none" w:sz="0" w:space="0" w:color="auto"/>
      </w:divBdr>
    </w:div>
    <w:div w:id="418335856">
      <w:marLeft w:val="0"/>
      <w:marRight w:val="0"/>
      <w:marTop w:val="0"/>
      <w:marBottom w:val="0"/>
      <w:divBdr>
        <w:top w:val="none" w:sz="0" w:space="0" w:color="auto"/>
        <w:left w:val="none" w:sz="0" w:space="0" w:color="auto"/>
        <w:bottom w:val="none" w:sz="0" w:space="0" w:color="auto"/>
        <w:right w:val="none" w:sz="0" w:space="0" w:color="auto"/>
      </w:divBdr>
    </w:div>
    <w:div w:id="4183358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lex.europa.eu/legal-content/EL/AUTO/?uri=celex:32011R04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37</Pages>
  <Words>11366</Words>
  <Characters>64790</Characters>
  <Application>Microsoft Office Word</Application>
  <DocSecurity>0</DocSecurity>
  <Lines>539</Lines>
  <Paragraphs>152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ΑΙΤΙΟΛΟΓΙΚΗ ΕΚΘΕΣΗ</vt:lpstr>
      <vt:lpstr>ΑΙΤΙΟΛΟΓΙΚΗ ΕΚΘΕΣΗ</vt:lpstr>
    </vt:vector>
  </TitlesOfParts>
  <Company>Toshiba</Company>
  <LinksUpToDate>false</LinksUpToDate>
  <CharactersWithSpaces>76004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ΑΙΤΙΟΛΟΓΙΚΗ ΕΚΘΕΣΗ</dc:title>
  <dc:creator>ILIAS</dc:creator>
  <cp:lastModifiedBy>aliki</cp:lastModifiedBy>
  <cp:revision>6</cp:revision>
  <cp:lastPrinted>2020-03-09T08:55:00Z</cp:lastPrinted>
  <dcterms:created xsi:type="dcterms:W3CDTF">2020-04-07T09:39:00Z</dcterms:created>
  <dcterms:modified xsi:type="dcterms:W3CDTF">2020-04-07T10:11:00Z</dcterms:modified>
</cp:coreProperties>
</file>